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8E90B" w14:textId="669A4D82" w:rsidR="00D07C27" w:rsidRPr="001A4C5B" w:rsidRDefault="00BE3286" w:rsidP="00C558E7">
      <w:pPr>
        <w:pStyle w:val="Nagwek1"/>
        <w:ind w:right="545"/>
        <w:rPr>
          <w:rFonts w:ascii="Arial" w:hAnsi="Arial" w:cs="Arial"/>
          <w:bCs/>
          <w:color w:val="1F4E79" w:themeColor="accent1" w:themeShade="80"/>
        </w:rPr>
      </w:pPr>
      <w:bookmarkStart w:id="0" w:name="_GoBack"/>
      <w:bookmarkEnd w:id="0"/>
      <w:r w:rsidRPr="001A4C5B">
        <w:rPr>
          <w:rFonts w:ascii="Arial" w:hAnsi="Arial" w:cs="Arial"/>
          <w:bCs/>
          <w:color w:val="1F4E79" w:themeColor="accent1" w:themeShade="80"/>
        </w:rPr>
        <w:t xml:space="preserve">بند جدول الأعمال </w:t>
      </w:r>
      <w:r w:rsidR="006478F6">
        <w:rPr>
          <w:rFonts w:ascii="Arial" w:hAnsi="Arial" w:cs="Arial"/>
          <w:bCs/>
          <w:color w:val="1F4E79" w:themeColor="accent1" w:themeShade="80"/>
          <w:rtl w:val="0"/>
        </w:rPr>
        <w:t>3</w:t>
      </w:r>
      <w:r w:rsidRPr="001A4C5B">
        <w:rPr>
          <w:rFonts w:ascii="Arial" w:hAnsi="Arial" w:cs="Arial"/>
          <w:bCs/>
          <w:color w:val="1F4E79" w:themeColor="accent1" w:themeShade="80"/>
        </w:rPr>
        <w:t xml:space="preserve">: قانون حماية البيانات العامة (نظرة عامة على </w:t>
      </w:r>
      <w:r w:rsidRPr="001A4C5B">
        <w:rPr>
          <w:rFonts w:ascii="Arial" w:hAnsi="Arial" w:cs="Arial"/>
          <w:bCs/>
          <w:color w:val="1F4E79" w:themeColor="accent1" w:themeShade="80"/>
          <w:rtl w:val="0"/>
        </w:rPr>
        <w:t>DPR</w:t>
      </w:r>
      <w:r w:rsidRPr="001A4C5B">
        <w:rPr>
          <w:rFonts w:ascii="Arial" w:hAnsi="Arial" w:cs="Arial"/>
          <w:bCs/>
          <w:color w:val="1F4E79" w:themeColor="accent1" w:themeShade="80"/>
        </w:rPr>
        <w:t>)</w:t>
      </w:r>
    </w:p>
    <w:p w14:paraId="4C084511" w14:textId="12608FCB" w:rsidR="00F21D6A" w:rsidRPr="001A4C5B" w:rsidRDefault="00D57B30" w:rsidP="001A4C5B">
      <w:pPr>
        <w:pStyle w:val="Nagwek2"/>
      </w:pPr>
      <w:r w:rsidRPr="001A4C5B">
        <w:rPr>
          <w:rtl/>
        </w:rPr>
        <w:t>القضايا</w:t>
      </w:r>
    </w:p>
    <w:p w14:paraId="3640AC1E" w14:textId="6C8642D8" w:rsidR="006075B6" w:rsidRPr="001A4C5B" w:rsidRDefault="00001658" w:rsidP="00036D48">
      <w:pPr>
        <w:pStyle w:val="Tekstpodstawowy"/>
        <w:rPr>
          <w:rFonts w:ascii="Arial" w:hAnsi="Arial" w:cs="Arial"/>
        </w:rPr>
      </w:pPr>
      <w:r w:rsidRPr="001A4C5B">
        <w:rPr>
          <w:rFonts w:ascii="Arial" w:hAnsi="Arial" w:cs="Arial"/>
        </w:rPr>
        <w:t xml:space="preserve">هذه جلسة ولية لإلقاء نظرة عامة على تأثيرات سياسة امتثال </w:t>
      </w:r>
      <w:r w:rsidRPr="001A4C5B">
        <w:rPr>
          <w:rFonts w:ascii="Arial" w:hAnsi="Arial" w:cs="Arial"/>
          <w:rtl w:val="0"/>
        </w:rPr>
        <w:t>ICANN</w:t>
      </w:r>
      <w:r w:rsidRPr="001A4C5B">
        <w:rPr>
          <w:rFonts w:ascii="Arial" w:hAnsi="Arial" w:cs="Arial"/>
        </w:rPr>
        <w:t xml:space="preserve"> بقانون حماية البيانات العامة </w:t>
      </w:r>
      <w:r w:rsidRPr="001A4C5B">
        <w:rPr>
          <w:rFonts w:ascii="Arial" w:hAnsi="Arial" w:cs="Arial"/>
          <w:rtl w:val="0"/>
        </w:rPr>
        <w:t>GDPR</w:t>
      </w:r>
      <w:r w:rsidRPr="001A4C5B">
        <w:rPr>
          <w:rFonts w:ascii="Arial" w:hAnsi="Arial" w:cs="Arial"/>
        </w:rPr>
        <w:t xml:space="preserve">. والغرض منه أن يكون فرصة أمام </w:t>
      </w:r>
      <w:r w:rsidRPr="001A4C5B">
        <w:rPr>
          <w:rFonts w:ascii="Arial" w:hAnsi="Arial" w:cs="Arial"/>
          <w:rtl w:val="0"/>
        </w:rPr>
        <w:t>GAC</w:t>
      </w:r>
      <w:r w:rsidRPr="001A4C5B">
        <w:rPr>
          <w:rFonts w:ascii="Arial" w:hAnsi="Arial" w:cs="Arial"/>
        </w:rPr>
        <w:t xml:space="preserve"> من أجل مراجعة الموقع الحالي والنظر في أفضل طريقة لملاحقة أهدافها خلال اجتماع </w:t>
      </w:r>
      <w:r w:rsidRPr="001A4C5B">
        <w:rPr>
          <w:rFonts w:ascii="Arial" w:hAnsi="Arial" w:cs="Arial"/>
          <w:rtl w:val="0"/>
        </w:rPr>
        <w:t>ICANN 62</w:t>
      </w:r>
      <w:r w:rsidRPr="001A4C5B">
        <w:rPr>
          <w:rFonts w:ascii="Arial" w:hAnsi="Arial" w:cs="Arial"/>
        </w:rPr>
        <w:t>.</w:t>
      </w:r>
    </w:p>
    <w:p w14:paraId="29275C1B" w14:textId="22AA3778" w:rsidR="00036D48" w:rsidRPr="001A4C5B" w:rsidRDefault="00036D48" w:rsidP="001A4C5B">
      <w:pPr>
        <w:pStyle w:val="Nagwek2"/>
      </w:pPr>
      <w:r w:rsidRPr="001A4C5B">
        <w:rPr>
          <w:rtl/>
        </w:rPr>
        <w:t>إجراءات اللجنة الاستشارية الحكومية المطلوب اتخاذها</w:t>
      </w:r>
    </w:p>
    <w:p w14:paraId="0CCF16EE" w14:textId="58149D68" w:rsidR="00583EE4" w:rsidRPr="001A4C5B" w:rsidRDefault="00921B8C" w:rsidP="00036D48">
      <w:pPr>
        <w:pStyle w:val="Tekstpodstawowy"/>
        <w:rPr>
          <w:rFonts w:ascii="Arial" w:hAnsi="Arial" w:cs="Arial"/>
        </w:rPr>
      </w:pPr>
      <w:r w:rsidRPr="001A4C5B">
        <w:rPr>
          <w:rFonts w:ascii="Arial" w:hAnsi="Arial" w:cs="Arial"/>
        </w:rPr>
        <w:t xml:space="preserve">ويجب على </w:t>
      </w:r>
      <w:r w:rsidRPr="001A4C5B">
        <w:rPr>
          <w:rFonts w:ascii="Arial" w:hAnsi="Arial" w:cs="Arial"/>
          <w:rtl w:val="0"/>
        </w:rPr>
        <w:t>GAC</w:t>
      </w:r>
      <w:r w:rsidRPr="001A4C5B">
        <w:rPr>
          <w:rFonts w:ascii="Arial" w:hAnsi="Arial" w:cs="Arial"/>
        </w:rPr>
        <w:t xml:space="preserve"> النظر في تحديد أولويات ما يلي:</w:t>
      </w:r>
    </w:p>
    <w:p w14:paraId="60F7874A" w14:textId="130DFEA6" w:rsidR="00921B8C" w:rsidRPr="001A4C5B" w:rsidRDefault="00921B8C" w:rsidP="00921B8C">
      <w:pPr>
        <w:pStyle w:val="Tekstpodstawowy"/>
        <w:numPr>
          <w:ilvl w:val="0"/>
          <w:numId w:val="24"/>
        </w:numPr>
        <w:rPr>
          <w:rFonts w:ascii="Arial" w:hAnsi="Arial" w:cs="Arial"/>
        </w:rPr>
      </w:pPr>
      <w:r w:rsidRPr="001A4C5B">
        <w:rPr>
          <w:rFonts w:ascii="Arial" w:hAnsi="Arial" w:cs="Arial"/>
        </w:rPr>
        <w:t xml:space="preserve">مسئوليات وبروتوكولات </w:t>
      </w:r>
      <w:r w:rsidRPr="001A4C5B">
        <w:rPr>
          <w:rFonts w:ascii="Arial" w:hAnsi="Arial" w:cs="Arial"/>
          <w:rtl w:val="0"/>
        </w:rPr>
        <w:t>GAC</w:t>
      </w:r>
      <w:r w:rsidRPr="001A4C5B">
        <w:rPr>
          <w:rFonts w:ascii="Arial" w:hAnsi="Arial" w:cs="Arial"/>
        </w:rPr>
        <w:t xml:space="preserve"> في حل المشكلات العالقة فيما يتعلق بقانون حماية البيانات العامة </w:t>
      </w:r>
      <w:r w:rsidRPr="001A4C5B">
        <w:rPr>
          <w:rFonts w:ascii="Arial" w:hAnsi="Arial" w:cs="Arial"/>
          <w:rtl w:val="0"/>
        </w:rPr>
        <w:t>GDPR</w:t>
      </w:r>
      <w:r w:rsidRPr="001A4C5B">
        <w:rPr>
          <w:rFonts w:ascii="Arial" w:hAnsi="Arial" w:cs="Arial"/>
        </w:rPr>
        <w:t xml:space="preserve"> و</w:t>
      </w:r>
      <w:r w:rsidRPr="001A4C5B">
        <w:rPr>
          <w:rFonts w:ascii="Arial" w:hAnsi="Arial" w:cs="Arial"/>
          <w:rtl w:val="0"/>
        </w:rPr>
        <w:t>WHOIS</w:t>
      </w:r>
      <w:r w:rsidRPr="001A4C5B">
        <w:rPr>
          <w:rFonts w:ascii="Arial" w:hAnsi="Arial" w:cs="Arial"/>
        </w:rPr>
        <w:t>، بما في ذلك:</w:t>
      </w:r>
    </w:p>
    <w:p w14:paraId="1AEED4D6" w14:textId="62C538F6" w:rsidR="00921B8C" w:rsidRPr="001A4C5B" w:rsidRDefault="00D35147" w:rsidP="00921B8C">
      <w:pPr>
        <w:pStyle w:val="Tekstpodstawowy"/>
        <w:numPr>
          <w:ilvl w:val="0"/>
          <w:numId w:val="25"/>
        </w:numPr>
        <w:rPr>
          <w:rFonts w:ascii="Arial" w:hAnsi="Arial" w:cs="Arial"/>
        </w:rPr>
      </w:pPr>
      <w:r w:rsidRPr="001A4C5B">
        <w:rPr>
          <w:rFonts w:ascii="Arial" w:hAnsi="Arial" w:cs="Arial"/>
        </w:rPr>
        <w:t xml:space="preserve">الاتفاق على أن تأمين نتائج جيدة للسياسة العامة في هذه الناحية مسألة يجب على </w:t>
      </w:r>
      <w:r w:rsidRPr="001A4C5B">
        <w:rPr>
          <w:rFonts w:ascii="Arial" w:hAnsi="Arial" w:cs="Arial"/>
          <w:rtl w:val="0"/>
        </w:rPr>
        <w:t>GAC</w:t>
      </w:r>
      <w:r w:rsidRPr="001A4C5B">
        <w:rPr>
          <w:rFonts w:ascii="Arial" w:hAnsi="Arial" w:cs="Arial"/>
        </w:rPr>
        <w:t xml:space="preserve"> بالكامل اعتبارها مدعومة إلى الحد المفيد من جانب مجموعة عمل السلامة العامة (</w:t>
      </w:r>
      <w:r w:rsidRPr="001A4C5B">
        <w:rPr>
          <w:rFonts w:ascii="Arial" w:hAnsi="Arial" w:cs="Arial"/>
          <w:rtl w:val="0"/>
        </w:rPr>
        <w:t>PSWG</w:t>
      </w:r>
      <w:r w:rsidRPr="001A4C5B">
        <w:rPr>
          <w:rFonts w:ascii="Arial" w:hAnsi="Arial" w:cs="Arial"/>
        </w:rPr>
        <w:t xml:space="preserve">) التابعة لـ </w:t>
      </w:r>
      <w:r w:rsidRPr="001A4C5B">
        <w:rPr>
          <w:rFonts w:ascii="Arial" w:hAnsi="Arial" w:cs="Arial"/>
          <w:rtl w:val="0"/>
        </w:rPr>
        <w:t>GAC</w:t>
      </w:r>
      <w:r w:rsidRPr="001A4C5B">
        <w:rPr>
          <w:rFonts w:ascii="Arial" w:hAnsi="Arial" w:cs="Arial"/>
        </w:rPr>
        <w:t xml:space="preserve">. </w:t>
      </w:r>
    </w:p>
    <w:p w14:paraId="67F596BF" w14:textId="43DE756C" w:rsidR="00921B8C" w:rsidRPr="001A4C5B" w:rsidRDefault="00921B8C" w:rsidP="00921B8C">
      <w:pPr>
        <w:pStyle w:val="Tekstpodstawowy"/>
        <w:numPr>
          <w:ilvl w:val="0"/>
          <w:numId w:val="25"/>
        </w:numPr>
        <w:rPr>
          <w:rFonts w:ascii="Arial" w:hAnsi="Arial" w:cs="Arial"/>
        </w:rPr>
      </w:pPr>
      <w:r w:rsidRPr="001A4C5B">
        <w:rPr>
          <w:rFonts w:ascii="Arial" w:hAnsi="Arial" w:cs="Arial"/>
        </w:rPr>
        <w:t xml:space="preserve">التأكيد على مجموعة التنسيق المكونة من أعضاء </w:t>
      </w:r>
      <w:r w:rsidRPr="001A4C5B">
        <w:rPr>
          <w:rFonts w:ascii="Arial" w:hAnsi="Arial" w:cs="Arial"/>
          <w:rtl w:val="0"/>
        </w:rPr>
        <w:t>GAC</w:t>
      </w:r>
      <w:r w:rsidRPr="001A4C5B">
        <w:rPr>
          <w:rFonts w:ascii="Arial" w:hAnsi="Arial" w:cs="Arial"/>
        </w:rPr>
        <w:t xml:space="preserve"> على تسهيل تعقيبات وإسهامات </w:t>
      </w:r>
      <w:r w:rsidRPr="001A4C5B">
        <w:rPr>
          <w:rFonts w:ascii="Arial" w:hAnsi="Arial" w:cs="Arial"/>
          <w:rtl w:val="0"/>
        </w:rPr>
        <w:t>GAC</w:t>
      </w:r>
      <w:r w:rsidRPr="001A4C5B">
        <w:rPr>
          <w:rFonts w:ascii="Arial" w:hAnsi="Arial" w:cs="Arial"/>
        </w:rPr>
        <w:t xml:space="preserve"> في أي من عمليات وضع السياسات لمنظمة </w:t>
      </w:r>
      <w:r w:rsidRPr="001A4C5B">
        <w:rPr>
          <w:rFonts w:ascii="Arial" w:hAnsi="Arial" w:cs="Arial"/>
          <w:rtl w:val="0"/>
        </w:rPr>
        <w:t>GNSO</w:t>
      </w:r>
      <w:r w:rsidRPr="001A4C5B">
        <w:rPr>
          <w:rFonts w:ascii="Arial" w:hAnsi="Arial" w:cs="Arial"/>
        </w:rPr>
        <w:t xml:space="preserve"> التي قد يتم البدء فيها، وربما في أي من عمليات المجتمع الأخرى ذات الصلة؛ المتطوعين الحاليين هم الهند والولايات المتحدة والمفوضية الأوروبية ورؤساء مجموعة عمل الأمن العام المشاركين.</w:t>
      </w:r>
    </w:p>
    <w:p w14:paraId="1E0F068D" w14:textId="67F71AE4" w:rsidR="00921B8C" w:rsidRPr="001A4C5B" w:rsidRDefault="00921B8C" w:rsidP="00921B8C">
      <w:pPr>
        <w:pStyle w:val="Tekstpodstawowy"/>
        <w:numPr>
          <w:ilvl w:val="0"/>
          <w:numId w:val="24"/>
        </w:numPr>
        <w:rPr>
          <w:rFonts w:ascii="Arial" w:hAnsi="Arial" w:cs="Arial"/>
        </w:rPr>
      </w:pPr>
      <w:r w:rsidRPr="001A4C5B">
        <w:rPr>
          <w:rFonts w:ascii="Arial" w:hAnsi="Arial" w:cs="Arial"/>
        </w:rPr>
        <w:t xml:space="preserve">وتقييد نصائح </w:t>
      </w:r>
      <w:r w:rsidRPr="001A4C5B">
        <w:rPr>
          <w:rFonts w:ascii="Arial" w:hAnsi="Arial" w:cs="Arial"/>
          <w:rtl w:val="0"/>
        </w:rPr>
        <w:t>GAC</w:t>
      </w:r>
      <w:r w:rsidRPr="001A4C5B">
        <w:rPr>
          <w:rFonts w:ascii="Arial" w:hAnsi="Arial" w:cs="Arial"/>
        </w:rPr>
        <w:t xml:space="preserve"> على مجلس الإدارة بهذه المسألة على النواحي اتلي يكون فيها إجراء مجلس الإدارة ممكنًا بشكل فعلي؛ وإكمال أي نصيحة بالمشاركة الفعالة في العمليات الأخرى، بما في ذلك أي عملية لوضع السياسات في </w:t>
      </w:r>
      <w:r w:rsidRPr="001A4C5B">
        <w:rPr>
          <w:rFonts w:ascii="Arial" w:hAnsi="Arial" w:cs="Arial"/>
          <w:rtl w:val="0"/>
        </w:rPr>
        <w:t>GNSO</w:t>
      </w:r>
      <w:r w:rsidRPr="001A4C5B">
        <w:rPr>
          <w:rFonts w:ascii="Arial" w:hAnsi="Arial" w:cs="Arial"/>
        </w:rPr>
        <w:t xml:space="preserve">. </w:t>
      </w:r>
    </w:p>
    <w:p w14:paraId="305304B5" w14:textId="5ED267EB" w:rsidR="00A25553" w:rsidRPr="001A4C5B" w:rsidRDefault="00672691" w:rsidP="00A25553">
      <w:pPr>
        <w:pStyle w:val="Tekstpodstawowy"/>
        <w:numPr>
          <w:ilvl w:val="0"/>
          <w:numId w:val="24"/>
        </w:numPr>
        <w:rPr>
          <w:rFonts w:ascii="Arial" w:hAnsi="Arial" w:cs="Arial"/>
        </w:rPr>
      </w:pPr>
      <w:r w:rsidRPr="001A4C5B">
        <w:rPr>
          <w:rFonts w:ascii="Arial" w:hAnsi="Arial" w:cs="Arial"/>
        </w:rPr>
        <w:t xml:space="preserve">وبالاتفاق على ذلك، فإن أهداف السياسة الجوهرية للجنة </w:t>
      </w:r>
      <w:r w:rsidRPr="001A4C5B">
        <w:rPr>
          <w:rFonts w:ascii="Arial" w:hAnsi="Arial" w:cs="Arial"/>
          <w:rtl w:val="0"/>
        </w:rPr>
        <w:t>GAC</w:t>
      </w:r>
      <w:r w:rsidRPr="001A4C5B">
        <w:rPr>
          <w:rFonts w:ascii="Arial" w:hAnsi="Arial" w:cs="Arial"/>
        </w:rPr>
        <w:t xml:space="preserve"> في هذا الوقت هي البنود التالية في نصائح </w:t>
      </w:r>
      <w:r w:rsidRPr="001A4C5B">
        <w:rPr>
          <w:rFonts w:ascii="Arial" w:hAnsi="Arial" w:cs="Arial"/>
          <w:rtl w:val="0"/>
        </w:rPr>
        <w:t>GAC</w:t>
      </w:r>
      <w:r w:rsidRPr="001A4C5B">
        <w:rPr>
          <w:rFonts w:ascii="Arial" w:hAnsi="Arial" w:cs="Arial"/>
        </w:rPr>
        <w:t xml:space="preserve"> القائمة في </w:t>
      </w:r>
      <w:r w:rsidR="00171D7F" w:rsidRPr="001A4C5B">
        <w:fldChar w:fldCharType="begin"/>
      </w:r>
      <w:r w:rsidR="00171D7F" w:rsidRPr="001A4C5B">
        <w:rPr>
          <w:rFonts w:ascii="Arial" w:hAnsi="Arial" w:cs="Arial"/>
        </w:rPr>
        <w:instrText xml:space="preserve"> </w:instrText>
      </w:r>
      <w:r w:rsidR="00171D7F" w:rsidRPr="001A4C5B">
        <w:rPr>
          <w:rFonts w:ascii="Arial" w:hAnsi="Arial" w:cs="Arial"/>
          <w:rtl w:val="0"/>
        </w:rPr>
        <w:instrText>HYPERLINK "https://gac.icann.org/contentMigrated/icann61-gac-communique" \h</w:instrText>
      </w:r>
      <w:r w:rsidR="00171D7F" w:rsidRPr="001A4C5B">
        <w:rPr>
          <w:rFonts w:ascii="Arial" w:hAnsi="Arial" w:cs="Arial"/>
        </w:rPr>
        <w:instrText xml:space="preserve"> </w:instrText>
      </w:r>
      <w:r w:rsidR="00171D7F" w:rsidRPr="001A4C5B">
        <w:fldChar w:fldCharType="separate"/>
      </w:r>
      <w:r w:rsidRPr="001A4C5B">
        <w:rPr>
          <w:rStyle w:val="Hipercze"/>
          <w:rFonts w:ascii="Arial" w:hAnsi="Arial" w:cs="Arial"/>
        </w:rPr>
        <w:t>البيان الختامي لاجتماع سان خوان</w:t>
      </w:r>
      <w:r w:rsidR="00171D7F" w:rsidRPr="001A4C5B">
        <w:rPr>
          <w:rStyle w:val="Hipercze"/>
          <w:rFonts w:ascii="Arial" w:hAnsi="Arial" w:cs="Arial"/>
        </w:rPr>
        <w:fldChar w:fldCharType="end"/>
      </w:r>
      <w:r w:rsidRPr="001A4C5B">
        <w:rPr>
          <w:rFonts w:ascii="Arial" w:hAnsi="Arial" w:cs="Arial"/>
        </w:rPr>
        <w:t xml:space="preserve"> (ملاحظة: قام مجلس الإدارة </w:t>
      </w:r>
      <w:r w:rsidR="00171D7F" w:rsidRPr="001A4C5B">
        <w:fldChar w:fldCharType="begin"/>
      </w:r>
      <w:r w:rsidR="00171D7F" w:rsidRPr="001A4C5B">
        <w:rPr>
          <w:rFonts w:ascii="Arial" w:hAnsi="Arial" w:cs="Arial"/>
        </w:rPr>
        <w:instrText xml:space="preserve"> </w:instrText>
      </w:r>
      <w:r w:rsidR="00171D7F" w:rsidRPr="001A4C5B">
        <w:rPr>
          <w:rFonts w:ascii="Arial" w:hAnsi="Arial" w:cs="Arial"/>
          <w:rtl w:val="0"/>
        </w:rPr>
        <w:instrText>HYPERLINK "https://www.icann.org/resources/board-material/resolutions-2018-05-17-en" \h</w:instrText>
      </w:r>
      <w:r w:rsidR="00171D7F" w:rsidRPr="001A4C5B">
        <w:rPr>
          <w:rFonts w:ascii="Arial" w:hAnsi="Arial" w:cs="Arial"/>
        </w:rPr>
        <w:instrText xml:space="preserve"> </w:instrText>
      </w:r>
      <w:r w:rsidR="00171D7F" w:rsidRPr="001A4C5B">
        <w:fldChar w:fldCharType="separate"/>
      </w:r>
      <w:r w:rsidRPr="001A4C5B">
        <w:rPr>
          <w:rStyle w:val="Hipercze"/>
          <w:rFonts w:ascii="Arial" w:hAnsi="Arial" w:cs="Arial"/>
        </w:rPr>
        <w:t>بتأجيل</w:t>
      </w:r>
      <w:r w:rsidR="00171D7F" w:rsidRPr="001A4C5B">
        <w:rPr>
          <w:rStyle w:val="Hipercze"/>
          <w:rFonts w:ascii="Arial" w:hAnsi="Arial" w:cs="Arial"/>
        </w:rPr>
        <w:fldChar w:fldCharType="end"/>
      </w:r>
      <w:r w:rsidRPr="001A4C5B">
        <w:rPr>
          <w:rStyle w:val="Odwoanieprzypisudolnego"/>
          <w:rFonts w:ascii="Arial" w:hAnsi="Arial" w:cs="Arial"/>
          <w:rtl w:val="0"/>
        </w:rPr>
        <w:footnoteReference w:id="1"/>
      </w:r>
      <w:r w:rsidRPr="001A4C5B">
        <w:rPr>
          <w:rFonts w:ascii="Arial" w:hAnsi="Arial" w:cs="Arial"/>
        </w:rPr>
        <w:t xml:space="preserve"> رد على هذه البنود لكنه ضمّن فحواها في </w:t>
      </w:r>
      <w:r w:rsidRPr="001A4C5B">
        <w:rPr>
          <w:rFonts w:ascii="Arial" w:hAnsi="Arial" w:cs="Arial"/>
          <w:i/>
          <w:iCs/>
        </w:rPr>
        <w:t>ملحق المواصفة المؤقتة: قضايا مهمة لمزيد من إجراءات المجتمع</w:t>
      </w:r>
      <w:r w:rsidRPr="001A4C5B">
        <w:rPr>
          <w:rFonts w:ascii="Arial" w:hAnsi="Arial" w:cs="Arial"/>
        </w:rPr>
        <w:t>):</w:t>
      </w:r>
    </w:p>
    <w:p w14:paraId="4E78987A" w14:textId="2E3E6572" w:rsidR="0080662D" w:rsidRPr="001A4C5B" w:rsidRDefault="0080662D" w:rsidP="0080662D">
      <w:pPr>
        <w:pStyle w:val="Tekstpodstawowy"/>
        <w:numPr>
          <w:ilvl w:val="0"/>
          <w:numId w:val="27"/>
        </w:numPr>
        <w:rPr>
          <w:rFonts w:ascii="Arial" w:hAnsi="Arial" w:cs="Arial"/>
        </w:rPr>
      </w:pPr>
      <w:r w:rsidRPr="001A4C5B">
        <w:rPr>
          <w:rFonts w:ascii="Arial" w:hAnsi="Arial" w:cs="Arial"/>
        </w:rPr>
        <w:t xml:space="preserve">التمييز بين الأشخاص الاعتباريين والأشخاص الطبيعيين، بما يسمح بالوصول العام إلى بيانات نظام </w:t>
      </w:r>
      <w:r w:rsidRPr="001A4C5B">
        <w:rPr>
          <w:rFonts w:ascii="Arial" w:hAnsi="Arial" w:cs="Arial"/>
          <w:rtl w:val="0"/>
        </w:rPr>
        <w:t>WHOIS</w:t>
      </w:r>
      <w:r w:rsidRPr="001A4C5B">
        <w:rPr>
          <w:rFonts w:ascii="Arial" w:hAnsi="Arial" w:cs="Arial"/>
        </w:rPr>
        <w:t xml:space="preserve"> الخاصة بالكيانات الاعتبارية، التي لا تقع ضمن اختصاص قانون حماية البيانات العامة </w:t>
      </w:r>
      <w:r w:rsidRPr="001A4C5B">
        <w:rPr>
          <w:rFonts w:ascii="Arial" w:hAnsi="Arial" w:cs="Arial"/>
          <w:rtl w:val="0"/>
        </w:rPr>
        <w:t>GDPR</w:t>
      </w:r>
      <w:r w:rsidRPr="001A4C5B">
        <w:rPr>
          <w:rFonts w:ascii="Arial" w:hAnsi="Arial" w:cs="Arial"/>
        </w:rPr>
        <w:t>.</w:t>
      </w:r>
    </w:p>
    <w:p w14:paraId="037E4E66" w14:textId="5D99A8EB" w:rsidR="0080662D" w:rsidRPr="001A4C5B" w:rsidRDefault="00A25553" w:rsidP="0080662D">
      <w:pPr>
        <w:pStyle w:val="Tekstpodstawowy"/>
        <w:numPr>
          <w:ilvl w:val="0"/>
          <w:numId w:val="27"/>
        </w:numPr>
        <w:rPr>
          <w:rFonts w:ascii="Arial" w:hAnsi="Arial" w:cs="Arial"/>
        </w:rPr>
      </w:pPr>
      <w:r w:rsidRPr="001A4C5B">
        <w:rPr>
          <w:rFonts w:ascii="Arial" w:hAnsi="Arial" w:cs="Arial"/>
        </w:rPr>
        <w:t xml:space="preserve">ضمان استمرار الوصول إلى بيانات </w:t>
      </w:r>
      <w:r w:rsidRPr="001A4C5B">
        <w:rPr>
          <w:rFonts w:ascii="Arial" w:hAnsi="Arial" w:cs="Arial"/>
          <w:rtl w:val="0"/>
        </w:rPr>
        <w:t>WHOIS</w:t>
      </w:r>
      <w:r w:rsidRPr="001A4C5B">
        <w:rPr>
          <w:rFonts w:ascii="Arial" w:hAnsi="Arial" w:cs="Arial"/>
        </w:rPr>
        <w:t xml:space="preserve"> -بما في ذلك البيانات غير العامة- للمستخدمين الذين لديهم غرض مشروع، حتى يحين وقت تشغيل نموذج </w:t>
      </w:r>
      <w:r w:rsidRPr="001A4C5B">
        <w:rPr>
          <w:rFonts w:ascii="Arial" w:hAnsi="Arial" w:cs="Arial"/>
          <w:rtl w:val="0"/>
        </w:rPr>
        <w:t>WHOIS</w:t>
      </w:r>
      <w:r w:rsidRPr="001A4C5B">
        <w:rPr>
          <w:rFonts w:ascii="Arial" w:hAnsi="Arial" w:cs="Arial"/>
        </w:rPr>
        <w:t xml:space="preserve"> المؤقت بشكل كامل، على أساس إلزامي لجميع الأطراف المتعاقدة.</w:t>
      </w:r>
    </w:p>
    <w:p w14:paraId="1F925CDF" w14:textId="64254263" w:rsidR="0080662D" w:rsidRPr="001A4C5B" w:rsidRDefault="00A25553" w:rsidP="0080662D">
      <w:pPr>
        <w:pStyle w:val="Tekstpodstawowy"/>
        <w:numPr>
          <w:ilvl w:val="0"/>
          <w:numId w:val="27"/>
        </w:numPr>
        <w:rPr>
          <w:rFonts w:ascii="Arial" w:hAnsi="Arial" w:cs="Arial"/>
        </w:rPr>
      </w:pPr>
      <w:r w:rsidRPr="001A4C5B">
        <w:rPr>
          <w:rFonts w:ascii="Arial" w:hAnsi="Arial" w:cs="Arial"/>
        </w:rPr>
        <w:t>التأكد من أن القيود من حيث حجم الاستعلام المتصور في إطار برنامج الاعتماد يوازن بين واقعية الاحتياجات الاستقصائية عبر المراجع.</w:t>
      </w:r>
    </w:p>
    <w:p w14:paraId="104138D1" w14:textId="214ECE06" w:rsidR="0012744C" w:rsidRPr="001A4C5B" w:rsidRDefault="00A25553" w:rsidP="0080662D">
      <w:pPr>
        <w:pStyle w:val="Tekstpodstawowy"/>
        <w:numPr>
          <w:ilvl w:val="0"/>
          <w:numId w:val="27"/>
        </w:numPr>
        <w:rPr>
          <w:rFonts w:ascii="Arial" w:hAnsi="Arial" w:cs="Arial"/>
        </w:rPr>
      </w:pPr>
      <w:r w:rsidRPr="001A4C5B">
        <w:rPr>
          <w:rFonts w:ascii="Arial" w:hAnsi="Arial" w:cs="Arial"/>
        </w:rPr>
        <w:t xml:space="preserve">ضمان سرية استعلامات </w:t>
      </w:r>
      <w:r w:rsidRPr="001A4C5B">
        <w:rPr>
          <w:rFonts w:ascii="Arial" w:hAnsi="Arial" w:cs="Arial"/>
          <w:rtl w:val="0"/>
        </w:rPr>
        <w:t>WHOIS</w:t>
      </w:r>
      <w:r w:rsidRPr="001A4C5B">
        <w:rPr>
          <w:rFonts w:ascii="Arial" w:hAnsi="Arial" w:cs="Arial"/>
        </w:rPr>
        <w:t xml:space="preserve"> من جانب وكالات إنفاذ القانون.</w:t>
      </w:r>
    </w:p>
    <w:p w14:paraId="1A45348A" w14:textId="27A5BF70" w:rsidR="0012744C" w:rsidRPr="001A4C5B" w:rsidRDefault="00A25553" w:rsidP="00921B8C">
      <w:pPr>
        <w:pStyle w:val="Tekstpodstawowy"/>
        <w:numPr>
          <w:ilvl w:val="0"/>
          <w:numId w:val="24"/>
        </w:numPr>
        <w:rPr>
          <w:rFonts w:ascii="Arial" w:hAnsi="Arial" w:cs="Arial"/>
        </w:rPr>
      </w:pPr>
      <w:r w:rsidRPr="001A4C5B">
        <w:rPr>
          <w:rFonts w:ascii="Arial" w:hAnsi="Arial" w:cs="Arial"/>
        </w:rPr>
        <w:t xml:space="preserve">المشاركة من جانب أعضاء </w:t>
      </w:r>
      <w:r w:rsidRPr="001A4C5B">
        <w:rPr>
          <w:rFonts w:ascii="Arial" w:hAnsi="Arial" w:cs="Arial"/>
          <w:rtl w:val="0"/>
        </w:rPr>
        <w:t>GAC</w:t>
      </w:r>
      <w:r w:rsidRPr="001A4C5B">
        <w:rPr>
          <w:rFonts w:ascii="Arial" w:hAnsi="Arial" w:cs="Arial"/>
        </w:rPr>
        <w:t xml:space="preserve"> ومجموعة عمل الأمن العام في جلسات </w:t>
      </w:r>
      <w:r w:rsidRPr="001A4C5B">
        <w:rPr>
          <w:rFonts w:ascii="Arial" w:hAnsi="Arial" w:cs="Arial"/>
          <w:rtl w:val="0"/>
        </w:rPr>
        <w:t>ICANN 62</w:t>
      </w:r>
      <w:r w:rsidRPr="001A4C5B">
        <w:rPr>
          <w:rFonts w:ascii="Arial" w:hAnsi="Arial" w:cs="Arial"/>
        </w:rPr>
        <w:t xml:space="preserve"> ذات الصلة، بما في ذلك جلسات المجتمعات المتعددة حول الامتثال لقانون حماية البيانات العامة </w:t>
      </w:r>
      <w:r w:rsidRPr="001A4C5B">
        <w:rPr>
          <w:rFonts w:ascii="Arial" w:hAnsi="Arial" w:cs="Arial"/>
          <w:rtl w:val="0"/>
        </w:rPr>
        <w:t>GDPR</w:t>
      </w:r>
      <w:r w:rsidRPr="001A4C5B">
        <w:rPr>
          <w:rFonts w:ascii="Arial" w:hAnsi="Arial" w:cs="Arial"/>
        </w:rPr>
        <w:t xml:space="preserve">، والوصول إلى </w:t>
      </w:r>
      <w:r w:rsidRPr="001A4C5B">
        <w:rPr>
          <w:rFonts w:ascii="Arial" w:hAnsi="Arial" w:cs="Arial"/>
          <w:rtl w:val="0"/>
        </w:rPr>
        <w:t>WHOIS</w:t>
      </w:r>
      <w:r w:rsidRPr="001A4C5B">
        <w:rPr>
          <w:rFonts w:ascii="Arial" w:hAnsi="Arial" w:cs="Arial"/>
        </w:rPr>
        <w:t xml:space="preserve"> واعتمادها واجتماع </w:t>
      </w:r>
      <w:r w:rsidRPr="001A4C5B">
        <w:rPr>
          <w:rFonts w:ascii="Arial" w:hAnsi="Arial" w:cs="Arial"/>
          <w:rtl w:val="0"/>
        </w:rPr>
        <w:t>GAC</w:t>
      </w:r>
      <w:r w:rsidRPr="001A4C5B">
        <w:rPr>
          <w:rFonts w:ascii="Arial" w:hAnsi="Arial" w:cs="Arial"/>
        </w:rPr>
        <w:t xml:space="preserve"> مع مجلس إدارة </w:t>
      </w:r>
      <w:r w:rsidRPr="001A4C5B">
        <w:rPr>
          <w:rFonts w:ascii="Arial" w:hAnsi="Arial" w:cs="Arial"/>
          <w:rtl w:val="0"/>
        </w:rPr>
        <w:t>ICANN</w:t>
      </w:r>
      <w:r w:rsidRPr="001A4C5B">
        <w:rPr>
          <w:rFonts w:ascii="Arial" w:hAnsi="Arial" w:cs="Arial"/>
        </w:rPr>
        <w:t>، من أجل النقاش والحصول على تأييد المجتمع للأهداف سالفة الذكر.</w:t>
      </w:r>
    </w:p>
    <w:p w14:paraId="03F9C84A" w14:textId="42D26F47" w:rsidR="00583EE4" w:rsidRPr="001A4C5B" w:rsidRDefault="00A25553" w:rsidP="001A4C5B">
      <w:pPr>
        <w:pStyle w:val="Nagwek2"/>
      </w:pPr>
      <w:r w:rsidRPr="001A4C5B">
        <w:rPr>
          <w:rtl/>
        </w:rPr>
        <w:t>الوضع الحالي</w:t>
      </w:r>
    </w:p>
    <w:p w14:paraId="1912C4E0" w14:textId="69B40848" w:rsidR="00AE6E3D" w:rsidRPr="001A4C5B" w:rsidRDefault="00AE6E3D" w:rsidP="00D35147">
      <w:pPr>
        <w:pStyle w:val="Tekstpodstawowy"/>
        <w:rPr>
          <w:rFonts w:ascii="Arial" w:hAnsi="Arial" w:cs="Arial"/>
        </w:rPr>
      </w:pPr>
      <w:r w:rsidRPr="001A4C5B">
        <w:rPr>
          <w:rFonts w:ascii="Arial" w:hAnsi="Arial" w:cs="Arial"/>
        </w:rPr>
        <w:t xml:space="preserve">هذا ملخص لمجموعة المشكلات المعقدة. تتوفر معلومات أكثر تفصيلاً على </w:t>
      </w:r>
      <w:r w:rsidR="00171D7F" w:rsidRPr="001A4C5B">
        <w:fldChar w:fldCharType="begin"/>
      </w:r>
      <w:r w:rsidR="00171D7F" w:rsidRPr="001A4C5B">
        <w:rPr>
          <w:rFonts w:ascii="Arial" w:hAnsi="Arial" w:cs="Arial"/>
        </w:rPr>
        <w:instrText xml:space="preserve"> </w:instrText>
      </w:r>
      <w:r w:rsidR="00171D7F" w:rsidRPr="001A4C5B">
        <w:rPr>
          <w:rFonts w:ascii="Arial" w:hAnsi="Arial" w:cs="Arial"/>
          <w:rtl w:val="0"/>
        </w:rPr>
        <w:instrText>HYPERLINK "https://gac.icann.org/activity/whois-compliance-with-gdpr-reference" \h</w:instrText>
      </w:r>
      <w:r w:rsidR="00171D7F" w:rsidRPr="001A4C5B">
        <w:rPr>
          <w:rFonts w:ascii="Arial" w:hAnsi="Arial" w:cs="Arial"/>
        </w:rPr>
        <w:instrText xml:space="preserve"> </w:instrText>
      </w:r>
      <w:r w:rsidR="00171D7F" w:rsidRPr="001A4C5B">
        <w:fldChar w:fldCharType="separate"/>
      </w:r>
      <w:r w:rsidRPr="001A4C5B">
        <w:rPr>
          <w:rStyle w:val="Hipercze"/>
          <w:rFonts w:ascii="Arial" w:hAnsi="Arial" w:cs="Arial"/>
        </w:rPr>
        <w:t xml:space="preserve">موقع </w:t>
      </w:r>
      <w:r w:rsidRPr="001A4C5B">
        <w:rPr>
          <w:rStyle w:val="Hipercze"/>
          <w:rFonts w:ascii="Arial" w:hAnsi="Arial" w:cs="Arial"/>
          <w:rtl w:val="0"/>
        </w:rPr>
        <w:t>GAC</w:t>
      </w:r>
      <w:r w:rsidRPr="001A4C5B">
        <w:rPr>
          <w:rStyle w:val="Hipercze"/>
          <w:rFonts w:ascii="Arial" w:hAnsi="Arial" w:cs="Arial"/>
        </w:rPr>
        <w:t xml:space="preserve"> على الويب</w:t>
      </w:r>
      <w:r w:rsidR="00171D7F" w:rsidRPr="001A4C5B">
        <w:rPr>
          <w:rStyle w:val="Hipercze"/>
          <w:rFonts w:ascii="Arial" w:hAnsi="Arial" w:cs="Arial"/>
        </w:rPr>
        <w:fldChar w:fldCharType="end"/>
      </w:r>
      <w:r w:rsidRPr="001A4C5B">
        <w:rPr>
          <w:rFonts w:ascii="Arial" w:hAnsi="Arial" w:cs="Arial"/>
        </w:rPr>
        <w:t xml:space="preserve"> وعلى الروابط المتوفرة أدناه.</w:t>
      </w:r>
    </w:p>
    <w:p w14:paraId="1E03D1C2" w14:textId="4FFD1594" w:rsidR="00D35147" w:rsidRPr="001A4C5B" w:rsidRDefault="00AE6E3D" w:rsidP="00D35147">
      <w:pPr>
        <w:pStyle w:val="Tekstpodstawowy"/>
        <w:rPr>
          <w:rFonts w:ascii="Arial" w:hAnsi="Arial" w:cs="Arial"/>
        </w:rPr>
      </w:pPr>
      <w:r w:rsidRPr="001A4C5B">
        <w:rPr>
          <w:rFonts w:ascii="Arial" w:hAnsi="Arial" w:cs="Arial"/>
        </w:rPr>
        <w:t>سرى العمل بقانون حماية البيانات العامة (</w:t>
      </w:r>
      <w:r w:rsidRPr="001A4C5B">
        <w:rPr>
          <w:rFonts w:ascii="Arial" w:hAnsi="Arial" w:cs="Arial"/>
          <w:rtl w:val="0"/>
        </w:rPr>
        <w:t>GDPR</w:t>
      </w:r>
      <w:r w:rsidRPr="001A4C5B">
        <w:rPr>
          <w:rFonts w:ascii="Arial" w:hAnsi="Arial" w:cs="Arial"/>
        </w:rPr>
        <w:t xml:space="preserve">) الأوروبي في 25 مايو/أيار 2018. وقد اعتمد مجلس إدارة </w:t>
      </w:r>
      <w:r w:rsidRPr="001A4C5B">
        <w:rPr>
          <w:rFonts w:ascii="Arial" w:hAnsi="Arial" w:cs="Arial"/>
          <w:rtl w:val="0"/>
        </w:rPr>
        <w:t>ICANN</w:t>
      </w:r>
      <w:r w:rsidRPr="001A4C5B">
        <w:rPr>
          <w:rFonts w:ascii="Arial" w:hAnsi="Arial" w:cs="Arial"/>
        </w:rPr>
        <w:t xml:space="preserve"> </w:t>
      </w:r>
      <w:hyperlink r:id="rId8" w:anchor="annex">
        <w:r w:rsidRPr="001A4C5B">
          <w:rPr>
            <w:rStyle w:val="Hipercze"/>
            <w:rFonts w:ascii="Arial" w:hAnsi="Arial" w:cs="Arial"/>
          </w:rPr>
          <w:t>مواصفة مؤقتة</w:t>
        </w:r>
      </w:hyperlink>
      <w:r w:rsidRPr="001A4C5B">
        <w:rPr>
          <w:rFonts w:ascii="Arial" w:hAnsi="Arial" w:cs="Arial"/>
        </w:rPr>
        <w:t xml:space="preserve"> لبيانات تسجيل </w:t>
      </w:r>
      <w:proofErr w:type="spellStart"/>
      <w:r w:rsidRPr="001A4C5B">
        <w:rPr>
          <w:rFonts w:ascii="Arial" w:hAnsi="Arial" w:cs="Arial"/>
          <w:rtl w:val="0"/>
        </w:rPr>
        <w:t>gTLD</w:t>
      </w:r>
      <w:proofErr w:type="spellEnd"/>
      <w:r w:rsidRPr="001A4C5B">
        <w:rPr>
          <w:rFonts w:ascii="Arial" w:hAnsi="Arial" w:cs="Arial"/>
        </w:rPr>
        <w:t xml:space="preserve"> (نطاقات المستوى الأعلى العامة) (تنفيذ نموذج امتثال مؤقت لقانون حماية البيانات العامة </w:t>
      </w:r>
      <w:r w:rsidRPr="001A4C5B">
        <w:rPr>
          <w:rFonts w:ascii="Arial" w:hAnsi="Arial" w:cs="Arial"/>
          <w:rtl w:val="0"/>
        </w:rPr>
        <w:t>GDPR</w:t>
      </w:r>
      <w:r w:rsidRPr="001A4C5B">
        <w:rPr>
          <w:rFonts w:ascii="Arial" w:hAnsi="Arial" w:cs="Arial"/>
        </w:rPr>
        <w:t xml:space="preserve">). ويتيح هذا لكل </w:t>
      </w:r>
      <w:r w:rsidRPr="001A4C5B">
        <w:rPr>
          <w:rFonts w:ascii="Arial" w:hAnsi="Arial" w:cs="Arial"/>
        </w:rPr>
        <w:lastRenderedPageBreak/>
        <w:t xml:space="preserve">من </w:t>
      </w:r>
      <w:r w:rsidRPr="001A4C5B">
        <w:rPr>
          <w:rFonts w:ascii="Arial" w:hAnsi="Arial" w:cs="Arial"/>
          <w:rtl w:val="0"/>
        </w:rPr>
        <w:t>ICANN</w:t>
      </w:r>
      <w:r w:rsidRPr="001A4C5B">
        <w:rPr>
          <w:rFonts w:ascii="Arial" w:hAnsi="Arial" w:cs="Arial"/>
        </w:rPr>
        <w:t xml:space="preserve"> وسجلات وأمناء سجلات </w:t>
      </w:r>
      <w:proofErr w:type="spellStart"/>
      <w:r w:rsidRPr="001A4C5B">
        <w:rPr>
          <w:rFonts w:ascii="Arial" w:hAnsi="Arial" w:cs="Arial"/>
          <w:rtl w:val="0"/>
        </w:rPr>
        <w:t>gTLD</w:t>
      </w:r>
      <w:proofErr w:type="spellEnd"/>
      <w:r w:rsidRPr="001A4C5B">
        <w:rPr>
          <w:rFonts w:ascii="Arial" w:hAnsi="Arial" w:cs="Arial"/>
        </w:rPr>
        <w:t xml:space="preserve"> الالتزام بالمتطلبات التعاقدية والسياسات الحالية لـ </w:t>
      </w:r>
      <w:r w:rsidRPr="001A4C5B">
        <w:rPr>
          <w:rFonts w:ascii="Arial" w:hAnsi="Arial" w:cs="Arial"/>
          <w:rtl w:val="0"/>
        </w:rPr>
        <w:t>ICANN</w:t>
      </w:r>
      <w:r w:rsidRPr="001A4C5B">
        <w:rPr>
          <w:rFonts w:ascii="Arial" w:hAnsi="Arial" w:cs="Arial"/>
        </w:rPr>
        <w:t xml:space="preserve"> في ضوء قانون حماية البيانات العامة </w:t>
      </w:r>
      <w:r w:rsidRPr="001A4C5B">
        <w:rPr>
          <w:rFonts w:ascii="Arial" w:hAnsi="Arial" w:cs="Arial"/>
          <w:rtl w:val="0"/>
        </w:rPr>
        <w:t>GDPR</w:t>
      </w:r>
      <w:r w:rsidRPr="001A4C5B">
        <w:rPr>
          <w:rFonts w:ascii="Arial" w:hAnsi="Arial" w:cs="Arial"/>
        </w:rPr>
        <w:t xml:space="preserve">، ولا سيما فيما يخص جمع وتوفير بيانات حول مسجلي </w:t>
      </w:r>
      <w:proofErr w:type="spellStart"/>
      <w:r w:rsidRPr="001A4C5B">
        <w:rPr>
          <w:rFonts w:ascii="Arial" w:hAnsi="Arial" w:cs="Arial"/>
          <w:rtl w:val="0"/>
        </w:rPr>
        <w:t>gTLD</w:t>
      </w:r>
      <w:proofErr w:type="spellEnd"/>
      <w:r w:rsidRPr="001A4C5B">
        <w:rPr>
          <w:rFonts w:ascii="Arial" w:hAnsi="Arial" w:cs="Arial"/>
        </w:rPr>
        <w:t>.</w:t>
      </w:r>
    </w:p>
    <w:p w14:paraId="15CC8D27" w14:textId="7B630081" w:rsidR="00AE6E3D" w:rsidRPr="001A4C5B" w:rsidRDefault="00AE6E3D" w:rsidP="00D35147">
      <w:pPr>
        <w:pStyle w:val="Tekstpodstawowy"/>
        <w:rPr>
          <w:rFonts w:ascii="Arial" w:hAnsi="Arial" w:cs="Arial"/>
        </w:rPr>
      </w:pPr>
      <w:r w:rsidRPr="001A4C5B">
        <w:rPr>
          <w:rFonts w:ascii="Arial" w:hAnsi="Arial" w:cs="Arial"/>
        </w:rPr>
        <w:t xml:space="preserve">وتنص المواصفة المؤقتة على الجمع المستمر لبيانات التسجيل (المعروفة على نطاق واسع إلى الآن باسم </w:t>
      </w:r>
      <w:r w:rsidRPr="001A4C5B">
        <w:rPr>
          <w:rFonts w:ascii="Arial" w:hAnsi="Arial" w:cs="Arial"/>
          <w:rtl w:val="0"/>
        </w:rPr>
        <w:t>WHOIS</w:t>
      </w:r>
      <w:r w:rsidRPr="001A4C5B">
        <w:rPr>
          <w:rFonts w:ascii="Arial" w:hAnsi="Arial" w:cs="Arial"/>
        </w:rPr>
        <w:t>) ولكن تقيّد الوصول على البيانات الشخصية على من يبدون غرضًا مشروعًا للحصول على تلك البيانات. ويعرف هذا الوصول المقيد باسم النظام التدريجي أو الطبقي وسوف يتم تنفيذه من خلال ترتيبات جديدة يتم إنفاذها من خلال الأطراف المتعاقدة.  ومن المحتمل أن تشتمل هذه الأنظمة الجديدة على نظام اعتماد وتوثيق للمستخدمين أصحاب الأغراض المشروعة.</w:t>
      </w:r>
    </w:p>
    <w:p w14:paraId="7649D577" w14:textId="5C5C7772" w:rsidR="00AE6E3D" w:rsidRPr="001A4C5B" w:rsidRDefault="00AE6E3D" w:rsidP="00D35147">
      <w:pPr>
        <w:pStyle w:val="Tekstpodstawowy"/>
        <w:rPr>
          <w:rFonts w:ascii="Arial" w:hAnsi="Arial" w:cs="Arial"/>
        </w:rPr>
      </w:pPr>
      <w:r w:rsidRPr="001A4C5B">
        <w:rPr>
          <w:rFonts w:ascii="Arial" w:hAnsi="Arial" w:cs="Arial"/>
        </w:rPr>
        <w:t xml:space="preserve">وقد جادلت </w:t>
      </w:r>
      <w:r w:rsidRPr="001A4C5B">
        <w:rPr>
          <w:rFonts w:ascii="Arial" w:hAnsi="Arial" w:cs="Arial"/>
          <w:rtl w:val="0"/>
        </w:rPr>
        <w:t>GAC</w:t>
      </w:r>
      <w:r w:rsidRPr="001A4C5B">
        <w:rPr>
          <w:rFonts w:ascii="Arial" w:hAnsi="Arial" w:cs="Arial"/>
        </w:rPr>
        <w:t xml:space="preserve"> -مدعومة بمجموعة عمل السلامة العامة- على أسس السياسة العامة من أجل الوصول المستمر لبيانات </w:t>
      </w:r>
      <w:r w:rsidRPr="001A4C5B">
        <w:rPr>
          <w:rFonts w:ascii="Arial" w:hAnsi="Arial" w:cs="Arial"/>
          <w:rtl w:val="0"/>
        </w:rPr>
        <w:t>WHOIS</w:t>
      </w:r>
      <w:r w:rsidRPr="001A4C5B">
        <w:rPr>
          <w:rFonts w:ascii="Arial" w:hAnsi="Arial" w:cs="Arial"/>
        </w:rPr>
        <w:t xml:space="preserve"> للأغراض المشروعة من جانب جهات إنفاذ القانون والمستهلكين وغيرهم. وقد اشتمل ذلك على النصائح المقدمة إلى مجلس إدارة </w:t>
      </w:r>
      <w:r w:rsidRPr="001A4C5B">
        <w:rPr>
          <w:rFonts w:ascii="Arial" w:hAnsi="Arial" w:cs="Arial"/>
          <w:rtl w:val="0"/>
        </w:rPr>
        <w:t>ICANN</w:t>
      </w:r>
      <w:r w:rsidRPr="001A4C5B">
        <w:rPr>
          <w:rFonts w:ascii="Arial" w:hAnsi="Arial" w:cs="Arial"/>
        </w:rPr>
        <w:t xml:space="preserve">، والمشاركة -بما في ذلك التعليق العام- في العديد من عمليات المجتمع.  </w:t>
      </w:r>
    </w:p>
    <w:p w14:paraId="625F46A6" w14:textId="29A97B8E" w:rsidR="00192306" w:rsidRPr="001A4C5B" w:rsidRDefault="00192306" w:rsidP="00D35147">
      <w:pPr>
        <w:pStyle w:val="Tekstpodstawowy"/>
        <w:rPr>
          <w:rFonts w:ascii="Arial" w:hAnsi="Arial" w:cs="Arial"/>
        </w:rPr>
      </w:pPr>
      <w:r w:rsidRPr="001A4C5B">
        <w:rPr>
          <w:rFonts w:ascii="Arial" w:hAnsi="Arial" w:cs="Arial"/>
        </w:rPr>
        <w:t>وتسري المواصفة المؤقتة لمدة 12 شهرًا كحد أقصى اعتبارًا من 25 مايو/أيار 2018. وخلال ذلك الوقت:</w:t>
      </w:r>
    </w:p>
    <w:p w14:paraId="65F5D0CC" w14:textId="2AE6B3C7" w:rsidR="00192306" w:rsidRPr="001A4C5B" w:rsidRDefault="00192306" w:rsidP="00192306">
      <w:pPr>
        <w:pStyle w:val="Tekstpodstawowy"/>
        <w:numPr>
          <w:ilvl w:val="0"/>
          <w:numId w:val="28"/>
        </w:numPr>
        <w:rPr>
          <w:rFonts w:ascii="Arial" w:hAnsi="Arial" w:cs="Arial"/>
        </w:rPr>
      </w:pPr>
      <w:r w:rsidRPr="001A4C5B">
        <w:rPr>
          <w:rFonts w:ascii="Arial" w:hAnsi="Arial" w:cs="Arial"/>
        </w:rPr>
        <w:t xml:space="preserve">سوف يقوم مجلس الإدارة بتجديد المواصفة كل 90 يوم، وقد يجري تعديلات استنادًا -على سبيل المثال لا الحصر- إلى نصائح </w:t>
      </w:r>
      <w:r w:rsidRPr="001A4C5B">
        <w:rPr>
          <w:rFonts w:ascii="Arial" w:hAnsi="Arial" w:cs="Arial"/>
          <w:rtl w:val="0"/>
        </w:rPr>
        <w:t>GAC</w:t>
      </w:r>
      <w:r w:rsidRPr="001A4C5B">
        <w:rPr>
          <w:rFonts w:ascii="Arial" w:hAnsi="Arial" w:cs="Arial"/>
        </w:rPr>
        <w:t>.</w:t>
      </w:r>
    </w:p>
    <w:p w14:paraId="6F8BA45F" w14:textId="63FA4E4B" w:rsidR="00192306" w:rsidRPr="001A4C5B" w:rsidRDefault="00192306" w:rsidP="00192306">
      <w:pPr>
        <w:pStyle w:val="Tekstpodstawowy"/>
        <w:numPr>
          <w:ilvl w:val="0"/>
          <w:numId w:val="28"/>
        </w:numPr>
        <w:rPr>
          <w:rFonts w:ascii="Arial" w:hAnsi="Arial" w:cs="Arial"/>
        </w:rPr>
      </w:pPr>
      <w:r w:rsidRPr="001A4C5B">
        <w:rPr>
          <w:rFonts w:ascii="Arial" w:hAnsi="Arial" w:cs="Arial"/>
        </w:rPr>
        <w:t xml:space="preserve">إن </w:t>
      </w:r>
      <w:hyperlink r:id="rId9">
        <w:r w:rsidRPr="001A4C5B">
          <w:rPr>
            <w:rStyle w:val="Hipercze"/>
            <w:rFonts w:ascii="Arial" w:hAnsi="Arial" w:cs="Arial"/>
          </w:rPr>
          <w:t>عملية وضع سياسات عاجلة</w:t>
        </w:r>
      </w:hyperlink>
      <w:r w:rsidRPr="001A4C5B">
        <w:rPr>
          <w:rFonts w:ascii="Arial" w:hAnsi="Arial" w:cs="Arial"/>
        </w:rPr>
        <w:t xml:space="preserve"> (</w:t>
      </w:r>
      <w:r w:rsidRPr="001A4C5B">
        <w:rPr>
          <w:rFonts w:ascii="Arial" w:hAnsi="Arial" w:cs="Arial"/>
          <w:rtl w:val="0"/>
        </w:rPr>
        <w:t>EPDP</w:t>
      </w:r>
      <w:r w:rsidRPr="001A4C5B">
        <w:rPr>
          <w:rFonts w:ascii="Arial" w:hAnsi="Arial" w:cs="Arial"/>
        </w:rPr>
        <w:t xml:space="preserve">) في </w:t>
      </w:r>
      <w:r w:rsidRPr="001A4C5B">
        <w:rPr>
          <w:rFonts w:ascii="Arial" w:hAnsi="Arial" w:cs="Arial"/>
          <w:rtl w:val="0"/>
        </w:rPr>
        <w:t>GNSO</w:t>
      </w:r>
      <w:r w:rsidRPr="001A4C5B">
        <w:rPr>
          <w:rFonts w:ascii="Arial" w:hAnsi="Arial" w:cs="Arial"/>
        </w:rPr>
        <w:t xml:space="preserve"> أحد الخيارات التي يجري النظر فيها من جانب مجلس </w:t>
      </w:r>
      <w:r w:rsidRPr="001A4C5B">
        <w:rPr>
          <w:rFonts w:ascii="Arial" w:hAnsi="Arial" w:cs="Arial"/>
          <w:rtl w:val="0"/>
        </w:rPr>
        <w:t>GNSO</w:t>
      </w:r>
      <w:r w:rsidRPr="001A4C5B">
        <w:rPr>
          <w:rFonts w:ascii="Arial" w:hAnsi="Arial" w:cs="Arial"/>
        </w:rPr>
        <w:t xml:space="preserve"> في تقديم التوصيات حول السياسات التي يجب أن تنطبق على المشكلات التي عملت على تغطيتها المواصفة. ولم ينتهي مجلس </w:t>
      </w:r>
      <w:r w:rsidRPr="001A4C5B">
        <w:rPr>
          <w:rFonts w:ascii="Arial" w:hAnsi="Arial" w:cs="Arial"/>
          <w:rtl w:val="0"/>
        </w:rPr>
        <w:t>GNSO</w:t>
      </w:r>
      <w:r w:rsidRPr="001A4C5B">
        <w:rPr>
          <w:rFonts w:ascii="Arial" w:hAnsi="Arial" w:cs="Arial"/>
        </w:rPr>
        <w:t xml:space="preserve"> إلى الآن من تفاصيل ذلك، بما فيه الطريقة التي يمكن لمنظمات الدعم واللجان الاستشارية الأخرى المشاركة بها.</w:t>
      </w:r>
    </w:p>
    <w:p w14:paraId="032E5BE9" w14:textId="3465E936" w:rsidR="00AB2562" w:rsidRPr="001A4C5B" w:rsidRDefault="00241C6F" w:rsidP="00AB2562">
      <w:pPr>
        <w:pStyle w:val="Tekstpodstawowy"/>
        <w:rPr>
          <w:rFonts w:ascii="Arial" w:hAnsi="Arial" w:cs="Arial"/>
        </w:rPr>
      </w:pPr>
      <w:r w:rsidRPr="001A4C5B">
        <w:rPr>
          <w:rFonts w:ascii="Arial" w:hAnsi="Arial" w:cs="Arial"/>
        </w:rPr>
        <w:t xml:space="preserve">تضم المواصفة بعض أجزاء من نصيحة </w:t>
      </w:r>
      <w:r w:rsidRPr="001A4C5B">
        <w:rPr>
          <w:rFonts w:ascii="Arial" w:hAnsi="Arial" w:cs="Arial"/>
          <w:rtl w:val="0"/>
        </w:rPr>
        <w:t>GAC</w:t>
      </w:r>
      <w:r w:rsidRPr="001A4C5B">
        <w:rPr>
          <w:rFonts w:ascii="Arial" w:hAnsi="Arial" w:cs="Arial"/>
        </w:rPr>
        <w:t xml:space="preserve"> المشمولة في بيان سان خوان الختامي وتؤجل ردًا على العناصر الأربعة انتظارًا لإجراء مزيد من مناقشات مجلس الإدارة-</w:t>
      </w:r>
      <w:r w:rsidRPr="001A4C5B">
        <w:rPr>
          <w:rFonts w:ascii="Arial" w:hAnsi="Arial" w:cs="Arial"/>
          <w:rtl w:val="0"/>
        </w:rPr>
        <w:t>GAC</w:t>
      </w:r>
      <w:r w:rsidRPr="001A4C5B">
        <w:rPr>
          <w:rFonts w:ascii="Arial" w:hAnsi="Arial" w:cs="Arial"/>
        </w:rPr>
        <w:t xml:space="preserve"> (انظر أعلاه). وهي تشمل بعض المشكلات التي لم يتم الانتهاء منها، على الرغم من أنه لم يتضح بعد ما إن كان من الممكن ضمها في المواصفة خلال الشهور الـ 12 القادمة أو تركها للحل والتسوية من خلال عملية وضع السياسات العاجلة </w:t>
      </w:r>
      <w:r w:rsidRPr="001A4C5B">
        <w:rPr>
          <w:rFonts w:ascii="Arial" w:hAnsi="Arial" w:cs="Arial"/>
          <w:rtl w:val="0"/>
        </w:rPr>
        <w:t>EPDP</w:t>
      </w:r>
      <w:r w:rsidRPr="001A4C5B">
        <w:rPr>
          <w:rFonts w:ascii="Arial" w:hAnsi="Arial" w:cs="Arial"/>
        </w:rPr>
        <w:t xml:space="preserve">. وهي: </w:t>
      </w:r>
    </w:p>
    <w:p w14:paraId="5AF44832" w14:textId="77777777" w:rsidR="00AB2562" w:rsidRPr="001A4C5B" w:rsidRDefault="00AB2562" w:rsidP="00AB2562">
      <w:pPr>
        <w:numPr>
          <w:ilvl w:val="0"/>
          <w:numId w:val="23"/>
        </w:numPr>
        <w:shd w:val="clear" w:color="auto" w:fill="FFFFFF"/>
        <w:spacing w:after="225"/>
        <w:ind w:left="1020"/>
        <w:rPr>
          <w:rFonts w:ascii="Arial" w:hAnsi="Arial" w:cs="Arial"/>
          <w:color w:val="333333"/>
          <w:sz w:val="20"/>
          <w:szCs w:val="20"/>
        </w:rPr>
      </w:pPr>
      <w:r w:rsidRPr="001A4C5B">
        <w:rPr>
          <w:rFonts w:ascii="Arial" w:hAnsi="Arial" w:cs="Arial"/>
          <w:color w:val="333333"/>
          <w:sz w:val="20"/>
          <w:szCs w:val="20"/>
        </w:rPr>
        <w:t xml:space="preserve">وفقًا للقسم 4.4، مواصلة العمل المجتمعي لتطوير نموذج الاعتماد والوصول الذي يتوافق مع </w:t>
      </w:r>
      <w:r w:rsidRPr="001A4C5B">
        <w:rPr>
          <w:rFonts w:ascii="Arial" w:hAnsi="Arial" w:cs="Arial"/>
          <w:color w:val="333333"/>
          <w:sz w:val="20"/>
          <w:rtl w:val="0"/>
        </w:rPr>
        <w:t>GDPR</w:t>
      </w:r>
      <w:r w:rsidRPr="001A4C5B">
        <w:rPr>
          <w:rFonts w:ascii="Arial" w:hAnsi="Arial" w:cs="Arial"/>
          <w:color w:val="333333"/>
          <w:sz w:val="20"/>
          <w:szCs w:val="20"/>
        </w:rPr>
        <w:t>، مع الاعتراف بالحاجة للحصول على إرشادات إضافية من مجموعة عمل المادة 29/مجلس حماية البيانات الأوروبي.</w:t>
      </w:r>
    </w:p>
    <w:p w14:paraId="68827E34" w14:textId="77777777" w:rsidR="00AB2562" w:rsidRPr="001A4C5B" w:rsidRDefault="00AB2562" w:rsidP="00AB2562">
      <w:pPr>
        <w:numPr>
          <w:ilvl w:val="0"/>
          <w:numId w:val="23"/>
        </w:numPr>
        <w:shd w:val="clear" w:color="auto" w:fill="FFFFFF"/>
        <w:spacing w:after="225"/>
        <w:ind w:left="1020"/>
        <w:rPr>
          <w:rFonts w:ascii="Arial" w:hAnsi="Arial" w:cs="Arial"/>
          <w:color w:val="333333"/>
          <w:sz w:val="20"/>
          <w:szCs w:val="20"/>
        </w:rPr>
      </w:pPr>
      <w:r w:rsidRPr="001A4C5B">
        <w:rPr>
          <w:rFonts w:ascii="Arial" w:hAnsi="Arial" w:cs="Arial"/>
          <w:color w:val="333333"/>
          <w:sz w:val="20"/>
          <w:szCs w:val="20"/>
        </w:rPr>
        <w:t>معالجة جدوى طلب جهات اتصال فريدة من نوعها للحصول على عنوان بريد إلكتروني مجهول وموحد عبر تسجيل اسم النطاق مع مسجل معين، مع ضمان الأمان/الاستقرار وتلبية متطلبات القسم 2.5.1 من الملحق أ.</w:t>
      </w:r>
    </w:p>
    <w:p w14:paraId="71307B23" w14:textId="77777777" w:rsidR="00AB2562" w:rsidRPr="001A4C5B" w:rsidRDefault="00AB2562" w:rsidP="00AB2562">
      <w:pPr>
        <w:numPr>
          <w:ilvl w:val="0"/>
          <w:numId w:val="23"/>
        </w:numPr>
        <w:shd w:val="clear" w:color="auto" w:fill="FFFFFF"/>
        <w:spacing w:after="225"/>
        <w:ind w:left="1020"/>
        <w:rPr>
          <w:rFonts w:ascii="Arial" w:hAnsi="Arial" w:cs="Arial"/>
          <w:color w:val="333333"/>
          <w:sz w:val="20"/>
          <w:szCs w:val="20"/>
        </w:rPr>
      </w:pPr>
      <w:r w:rsidRPr="001A4C5B">
        <w:rPr>
          <w:rFonts w:ascii="Arial" w:hAnsi="Arial" w:cs="Arial"/>
          <w:color w:val="333333"/>
          <w:sz w:val="20"/>
          <w:szCs w:val="20"/>
        </w:rPr>
        <w:t xml:space="preserve">تطوير أساليب لتزويد مقدمي شكاوى </w:t>
      </w:r>
      <w:r w:rsidRPr="001A4C5B">
        <w:rPr>
          <w:rFonts w:ascii="Arial" w:hAnsi="Arial" w:cs="Arial"/>
          <w:color w:val="333333"/>
          <w:sz w:val="20"/>
          <w:rtl w:val="0"/>
        </w:rPr>
        <w:t>URS</w:t>
      </w:r>
      <w:r w:rsidRPr="001A4C5B">
        <w:rPr>
          <w:rFonts w:ascii="Arial" w:hAnsi="Arial" w:cs="Arial"/>
          <w:color w:val="333333"/>
          <w:sz w:val="20"/>
          <w:szCs w:val="20"/>
        </w:rPr>
        <w:t xml:space="preserve"> و</w:t>
      </w:r>
      <w:r w:rsidRPr="001A4C5B">
        <w:rPr>
          <w:rFonts w:ascii="Arial" w:hAnsi="Arial" w:cs="Arial"/>
          <w:color w:val="333333"/>
          <w:sz w:val="20"/>
          <w:rtl w:val="0"/>
        </w:rPr>
        <w:t>UDRP</w:t>
      </w:r>
      <w:r w:rsidRPr="001A4C5B">
        <w:rPr>
          <w:rFonts w:ascii="Arial" w:hAnsi="Arial" w:cs="Arial"/>
          <w:color w:val="333333"/>
          <w:sz w:val="20"/>
          <w:szCs w:val="20"/>
        </w:rPr>
        <w:t xml:space="preserve"> المحتملين بالقدرة على الوصول الكافي إلى بيانات التسجيل لدعم رفع شكاوى حسن نية.</w:t>
      </w:r>
    </w:p>
    <w:p w14:paraId="6BF0DD48" w14:textId="77777777" w:rsidR="00AB2562" w:rsidRPr="001A4C5B" w:rsidRDefault="00AB2562" w:rsidP="00AB2562">
      <w:pPr>
        <w:numPr>
          <w:ilvl w:val="0"/>
          <w:numId w:val="23"/>
        </w:numPr>
        <w:shd w:val="clear" w:color="auto" w:fill="FFFFFF"/>
        <w:spacing w:after="225"/>
        <w:ind w:left="1020"/>
        <w:rPr>
          <w:rFonts w:ascii="Arial" w:hAnsi="Arial" w:cs="Arial"/>
          <w:color w:val="333333"/>
          <w:sz w:val="20"/>
          <w:szCs w:val="20"/>
        </w:rPr>
      </w:pPr>
      <w:r w:rsidRPr="001A4C5B">
        <w:rPr>
          <w:rFonts w:ascii="Arial" w:hAnsi="Arial" w:cs="Arial"/>
          <w:color w:val="333333"/>
          <w:sz w:val="20"/>
          <w:szCs w:val="20"/>
        </w:rPr>
        <w:t>عملية متسقة لاستمرار الوصول إلى بيانات التسجيل، بما في ذلك البيانات غير العامة، للمستخدمين الذين لديهم غرض مشروع، حتى يتم تشغيل آلية الاعتماد النهائي والوصول بشكل كامل، على أساس إلزامي لجميع الأطراف المتعاقدة.</w:t>
      </w:r>
    </w:p>
    <w:p w14:paraId="1265FED5" w14:textId="77777777" w:rsidR="00AB2562" w:rsidRPr="001A4C5B" w:rsidRDefault="00AB2562" w:rsidP="00AB2562">
      <w:pPr>
        <w:numPr>
          <w:ilvl w:val="0"/>
          <w:numId w:val="23"/>
        </w:numPr>
        <w:shd w:val="clear" w:color="auto" w:fill="FFFFFF"/>
        <w:spacing w:after="225"/>
        <w:ind w:left="1020"/>
        <w:rPr>
          <w:rFonts w:ascii="Arial" w:hAnsi="Arial" w:cs="Arial"/>
          <w:color w:val="333333"/>
          <w:sz w:val="20"/>
          <w:szCs w:val="20"/>
        </w:rPr>
      </w:pPr>
      <w:r w:rsidRPr="001A4C5B">
        <w:rPr>
          <w:rFonts w:ascii="Arial" w:hAnsi="Arial" w:cs="Arial"/>
          <w:color w:val="333333"/>
          <w:sz w:val="20"/>
          <w:szCs w:val="20"/>
        </w:rPr>
        <w:t xml:space="preserve">التمييز بين الأشخاص الاعتباريين والأشخاص الطبيعيين للسماح للجمهور بالوصول إلى بيانات تسجيل الأشخاص الاعتباريين الذين ليسوا في نطاق </w:t>
      </w:r>
      <w:r w:rsidRPr="001A4C5B">
        <w:rPr>
          <w:rFonts w:ascii="Arial" w:hAnsi="Arial" w:cs="Arial"/>
          <w:color w:val="333333"/>
          <w:sz w:val="20"/>
          <w:rtl w:val="0"/>
        </w:rPr>
        <w:t>GDPR</w:t>
      </w:r>
      <w:r w:rsidRPr="001A4C5B">
        <w:rPr>
          <w:rFonts w:ascii="Arial" w:hAnsi="Arial" w:cs="Arial"/>
          <w:color w:val="333333"/>
          <w:sz w:val="20"/>
          <w:szCs w:val="20"/>
        </w:rPr>
        <w:t>.</w:t>
      </w:r>
    </w:p>
    <w:p w14:paraId="6DEDE59A" w14:textId="77777777" w:rsidR="00AB2562" w:rsidRPr="001A4C5B" w:rsidRDefault="00AB2562" w:rsidP="00AB2562">
      <w:pPr>
        <w:numPr>
          <w:ilvl w:val="0"/>
          <w:numId w:val="23"/>
        </w:numPr>
        <w:shd w:val="clear" w:color="auto" w:fill="FFFFFF"/>
        <w:spacing w:after="225"/>
        <w:ind w:left="1020"/>
        <w:rPr>
          <w:rFonts w:ascii="Arial" w:hAnsi="Arial" w:cs="Arial"/>
          <w:color w:val="333333"/>
          <w:sz w:val="20"/>
          <w:szCs w:val="20"/>
        </w:rPr>
      </w:pPr>
      <w:r w:rsidRPr="001A4C5B">
        <w:rPr>
          <w:rFonts w:ascii="Arial" w:hAnsi="Arial" w:cs="Arial"/>
          <w:color w:val="333333"/>
          <w:sz w:val="20"/>
          <w:szCs w:val="20"/>
        </w:rPr>
        <w:t>القيود من حيث حجم الاستعلام المتوخى في إطار برنامج الاعتماد مقابل احتياجات التحقيق المرجعية الحقيقية.</w:t>
      </w:r>
    </w:p>
    <w:p w14:paraId="36E83DEF" w14:textId="3F3B4DEB" w:rsidR="00962727" w:rsidRPr="001A4C5B" w:rsidRDefault="00AB2562" w:rsidP="00036D48">
      <w:pPr>
        <w:numPr>
          <w:ilvl w:val="0"/>
          <w:numId w:val="23"/>
        </w:numPr>
        <w:shd w:val="clear" w:color="auto" w:fill="FFFFFF"/>
        <w:spacing w:after="225"/>
        <w:ind w:left="1020"/>
        <w:rPr>
          <w:rFonts w:ascii="Arial" w:hAnsi="Arial" w:cs="Arial"/>
          <w:color w:val="333333"/>
          <w:sz w:val="20"/>
          <w:szCs w:val="20"/>
        </w:rPr>
      </w:pPr>
      <w:r w:rsidRPr="001A4C5B">
        <w:rPr>
          <w:rFonts w:ascii="Arial" w:hAnsi="Arial" w:cs="Arial"/>
          <w:color w:val="333333"/>
          <w:sz w:val="20"/>
          <w:szCs w:val="20"/>
        </w:rPr>
        <w:t>سرية الاستعلامات لبيانات التسجيل بواسطة سلطات إنفاذ القانون.</w:t>
      </w:r>
    </w:p>
    <w:p w14:paraId="1A6AE836" w14:textId="4F6DFEE4" w:rsidR="00036D48" w:rsidRPr="001A4C5B" w:rsidRDefault="00E42E83" w:rsidP="00036D48">
      <w:pPr>
        <w:pStyle w:val="Tekstpodstawowy"/>
        <w:rPr>
          <w:rFonts w:ascii="Arial" w:hAnsi="Arial" w:cs="Arial"/>
          <w:b/>
        </w:rPr>
      </w:pPr>
      <w:r w:rsidRPr="001A4C5B">
        <w:rPr>
          <w:rFonts w:ascii="Arial" w:hAnsi="Arial" w:cs="Arial"/>
          <w:b/>
          <w:bCs/>
        </w:rPr>
        <w:t xml:space="preserve">جلسات اجتماع </w:t>
      </w:r>
      <w:r w:rsidRPr="001A4C5B">
        <w:rPr>
          <w:rFonts w:ascii="Arial" w:hAnsi="Arial" w:cs="Arial"/>
          <w:b/>
          <w:rtl w:val="0"/>
        </w:rPr>
        <w:t>ICANN 62</w:t>
      </w:r>
      <w:r w:rsidRPr="001A4C5B">
        <w:rPr>
          <w:rFonts w:ascii="Arial" w:hAnsi="Arial" w:cs="Arial"/>
          <w:b/>
          <w:bCs/>
        </w:rPr>
        <w:t xml:space="preserve"> ذات الصلة</w:t>
      </w:r>
    </w:p>
    <w:p w14:paraId="779AA083" w14:textId="306A05DE" w:rsidR="007E013D" w:rsidRPr="001A4C5B" w:rsidRDefault="00E42E83" w:rsidP="00036D48">
      <w:pPr>
        <w:pStyle w:val="Tekstpodstawowy"/>
        <w:rPr>
          <w:rFonts w:ascii="Arial" w:hAnsi="Arial" w:cs="Arial"/>
        </w:rPr>
      </w:pPr>
      <w:r w:rsidRPr="001A4C5B">
        <w:rPr>
          <w:rFonts w:ascii="Arial" w:hAnsi="Arial" w:cs="Arial"/>
        </w:rPr>
        <w:t xml:space="preserve">الإثنين 25 يونيو/حزيران: جلسة </w:t>
      </w:r>
      <w:r w:rsidRPr="001A4C5B">
        <w:rPr>
          <w:rFonts w:ascii="Arial" w:hAnsi="Arial" w:cs="Arial"/>
          <w:rtl w:val="0"/>
        </w:rPr>
        <w:t>GAC</w:t>
      </w:r>
      <w:r w:rsidRPr="001A4C5B">
        <w:rPr>
          <w:rFonts w:ascii="Arial" w:hAnsi="Arial" w:cs="Arial"/>
        </w:rPr>
        <w:t xml:space="preserve"> - نظرة عامة على قانون حماية البيانات العامة </w:t>
      </w:r>
      <w:r w:rsidRPr="001A4C5B">
        <w:rPr>
          <w:rFonts w:ascii="Arial" w:hAnsi="Arial" w:cs="Arial"/>
          <w:rtl w:val="0"/>
        </w:rPr>
        <w:t>GDPR</w:t>
      </w:r>
    </w:p>
    <w:p w14:paraId="5737E099" w14:textId="67C20E10" w:rsidR="00E42E83" w:rsidRPr="001A4C5B" w:rsidRDefault="00E42E83" w:rsidP="00036D48">
      <w:pPr>
        <w:pStyle w:val="Tekstpodstawowy"/>
        <w:rPr>
          <w:rFonts w:ascii="Arial" w:hAnsi="Arial" w:cs="Arial"/>
        </w:rPr>
      </w:pPr>
      <w:r w:rsidRPr="001A4C5B">
        <w:rPr>
          <w:rFonts w:ascii="Arial" w:hAnsi="Arial" w:cs="Arial"/>
        </w:rPr>
        <w:t xml:space="preserve">الإثنين 25 يونيو/حزيران: موضوع عظيم الأهمية - إحاطة مقدمة من فريق مراجعة </w:t>
      </w:r>
      <w:r w:rsidRPr="001A4C5B">
        <w:rPr>
          <w:rFonts w:ascii="Arial" w:hAnsi="Arial" w:cs="Arial"/>
          <w:rtl w:val="0"/>
        </w:rPr>
        <w:t>RDS-WHOIS2</w:t>
      </w:r>
    </w:p>
    <w:p w14:paraId="1FDBE363" w14:textId="02F1E3EB" w:rsidR="007E013D" w:rsidRPr="001A4C5B" w:rsidRDefault="00E42E83" w:rsidP="00036D48">
      <w:pPr>
        <w:pStyle w:val="Tekstpodstawowy"/>
        <w:rPr>
          <w:rFonts w:ascii="Arial" w:hAnsi="Arial" w:cs="Arial"/>
        </w:rPr>
      </w:pPr>
      <w:r w:rsidRPr="001A4C5B">
        <w:rPr>
          <w:rFonts w:ascii="Arial" w:hAnsi="Arial" w:cs="Arial"/>
        </w:rPr>
        <w:t xml:space="preserve">الثلاثاء، 26 يونيو/حزيران: جلسة </w:t>
      </w:r>
      <w:r w:rsidRPr="001A4C5B">
        <w:rPr>
          <w:rFonts w:ascii="Arial" w:hAnsi="Arial" w:cs="Arial"/>
          <w:rtl w:val="0"/>
        </w:rPr>
        <w:t>GAC</w:t>
      </w:r>
      <w:r w:rsidRPr="001A4C5B">
        <w:rPr>
          <w:rFonts w:ascii="Arial" w:hAnsi="Arial" w:cs="Arial"/>
        </w:rPr>
        <w:t xml:space="preserve"> - مناقشة قانون حماية البيانات العامة </w:t>
      </w:r>
      <w:r w:rsidRPr="001A4C5B">
        <w:rPr>
          <w:rFonts w:ascii="Arial" w:hAnsi="Arial" w:cs="Arial"/>
          <w:rtl w:val="0"/>
        </w:rPr>
        <w:t>GDPR (1</w:t>
      </w:r>
      <w:r w:rsidRPr="001A4C5B">
        <w:rPr>
          <w:rFonts w:ascii="Arial" w:hAnsi="Arial" w:cs="Arial"/>
        </w:rPr>
        <w:t>)</w:t>
      </w:r>
    </w:p>
    <w:p w14:paraId="10AB7902" w14:textId="3AE05C54" w:rsidR="00F8151B" w:rsidRPr="001A4C5B" w:rsidRDefault="00E42E83" w:rsidP="00036D48">
      <w:pPr>
        <w:pStyle w:val="Tekstpodstawowy"/>
        <w:rPr>
          <w:rFonts w:ascii="Arial" w:hAnsi="Arial" w:cs="Arial"/>
        </w:rPr>
      </w:pPr>
      <w:r w:rsidRPr="001A4C5B">
        <w:rPr>
          <w:rFonts w:ascii="Arial" w:hAnsi="Arial" w:cs="Arial"/>
        </w:rPr>
        <w:lastRenderedPageBreak/>
        <w:t>الثلاثاء، 26 يونيو/حزيران: جلسات المجتمع العامة (</w:t>
      </w:r>
      <w:r w:rsidRPr="001A4C5B">
        <w:rPr>
          <w:rFonts w:ascii="Arial" w:hAnsi="Arial" w:cs="Arial"/>
          <w:b/>
          <w:bCs/>
        </w:rPr>
        <w:t>ملاحظة</w:t>
      </w:r>
      <w:r w:rsidRPr="001A4C5B">
        <w:rPr>
          <w:rFonts w:ascii="Arial" w:hAnsi="Arial" w:cs="Arial"/>
        </w:rPr>
        <w:t xml:space="preserve">: لم يتم الانتهاء من تفاصيلها إلى الآن. سوف تشتمل المشكلات المقرر تغطيتها على الأرجح على تلك المشكلات ذات الاهتمام بالنسبة لـ </w:t>
      </w:r>
      <w:r w:rsidRPr="001A4C5B">
        <w:rPr>
          <w:rFonts w:ascii="Arial" w:hAnsi="Arial" w:cs="Arial"/>
          <w:rtl w:val="0"/>
        </w:rPr>
        <w:t>GAC</w:t>
      </w:r>
      <w:r w:rsidRPr="001A4C5B">
        <w:rPr>
          <w:rFonts w:ascii="Arial" w:hAnsi="Arial" w:cs="Arial"/>
        </w:rPr>
        <w:t>، ولكن أيضًا على بنود أخرى بما في ذلك إرشادات للسجلات وأمناء السجلات بخصوص ترتيبات وتكاليف الامتثال).</w:t>
      </w:r>
    </w:p>
    <w:p w14:paraId="68A4542E" w14:textId="49A06CF1" w:rsidR="00F8151B" w:rsidRPr="001A4C5B" w:rsidRDefault="00F8151B" w:rsidP="00F8151B">
      <w:pPr>
        <w:pStyle w:val="Tekstpodstawowy"/>
        <w:numPr>
          <w:ilvl w:val="0"/>
          <w:numId w:val="30"/>
        </w:numPr>
        <w:rPr>
          <w:rFonts w:ascii="Arial" w:hAnsi="Arial" w:cs="Arial"/>
        </w:rPr>
      </w:pPr>
      <w:r w:rsidRPr="001A4C5B">
        <w:rPr>
          <w:rFonts w:ascii="Arial" w:hAnsi="Arial" w:cs="Arial"/>
        </w:rPr>
        <w:t xml:space="preserve">سياسة </w:t>
      </w:r>
      <w:r w:rsidRPr="001A4C5B">
        <w:rPr>
          <w:rFonts w:ascii="Arial" w:hAnsi="Arial" w:cs="Arial"/>
          <w:rtl w:val="0"/>
        </w:rPr>
        <w:t>WHOIS/RDS</w:t>
      </w:r>
      <w:r w:rsidRPr="001A4C5B">
        <w:rPr>
          <w:rFonts w:ascii="Arial" w:hAnsi="Arial" w:cs="Arial"/>
        </w:rPr>
        <w:t xml:space="preserve"> ما بعد قانون حماية البيانات العامة </w:t>
      </w:r>
      <w:r w:rsidRPr="001A4C5B">
        <w:rPr>
          <w:rFonts w:ascii="Arial" w:hAnsi="Arial" w:cs="Arial"/>
          <w:rtl w:val="0"/>
        </w:rPr>
        <w:t>GDPR</w:t>
      </w:r>
    </w:p>
    <w:p w14:paraId="1E98AC82" w14:textId="659B3E37" w:rsidR="00E42E83" w:rsidRPr="001A4C5B" w:rsidRDefault="00F8151B" w:rsidP="00F8151B">
      <w:pPr>
        <w:pStyle w:val="Tekstpodstawowy"/>
        <w:numPr>
          <w:ilvl w:val="0"/>
          <w:numId w:val="29"/>
        </w:numPr>
        <w:rPr>
          <w:rFonts w:ascii="Arial" w:hAnsi="Arial" w:cs="Arial"/>
        </w:rPr>
      </w:pPr>
      <w:r w:rsidRPr="001A4C5B">
        <w:rPr>
          <w:rFonts w:ascii="Arial" w:hAnsi="Arial" w:cs="Arial"/>
        </w:rPr>
        <w:t xml:space="preserve">الاعتماد والوصول إلى بيانات </w:t>
      </w:r>
      <w:r w:rsidRPr="001A4C5B">
        <w:rPr>
          <w:rFonts w:ascii="Arial" w:hAnsi="Arial" w:cs="Arial"/>
          <w:rtl w:val="0"/>
        </w:rPr>
        <w:t>WHOIS</w:t>
      </w:r>
      <w:r w:rsidRPr="001A4C5B">
        <w:rPr>
          <w:rFonts w:ascii="Arial" w:hAnsi="Arial" w:cs="Arial"/>
        </w:rPr>
        <w:t xml:space="preserve"> غير العامة لما بعد قانون حماية البيانات العامة </w:t>
      </w:r>
      <w:r w:rsidRPr="001A4C5B">
        <w:rPr>
          <w:rFonts w:ascii="Arial" w:hAnsi="Arial" w:cs="Arial"/>
          <w:rtl w:val="0"/>
        </w:rPr>
        <w:t>GDPR</w:t>
      </w:r>
    </w:p>
    <w:p w14:paraId="1639B0B8" w14:textId="4CF70B58" w:rsidR="00E42E83" w:rsidRPr="001A4C5B" w:rsidRDefault="00E42E83" w:rsidP="00036D48">
      <w:pPr>
        <w:pStyle w:val="Tekstpodstawowy"/>
        <w:rPr>
          <w:rFonts w:ascii="Arial" w:hAnsi="Arial" w:cs="Arial"/>
        </w:rPr>
      </w:pPr>
      <w:r w:rsidRPr="001A4C5B">
        <w:rPr>
          <w:rFonts w:ascii="Arial" w:hAnsi="Arial" w:cs="Arial"/>
        </w:rPr>
        <w:t xml:space="preserve"> الأربعاء 7 يونيو/حزيران:  جلسة </w:t>
      </w:r>
      <w:r w:rsidRPr="001A4C5B">
        <w:rPr>
          <w:rFonts w:ascii="Arial" w:hAnsi="Arial" w:cs="Arial"/>
          <w:rtl w:val="0"/>
        </w:rPr>
        <w:t>GAC</w:t>
      </w:r>
      <w:r w:rsidRPr="001A4C5B">
        <w:rPr>
          <w:rFonts w:ascii="Arial" w:hAnsi="Arial" w:cs="Arial"/>
        </w:rPr>
        <w:t xml:space="preserve"> - مناقشة قانون حماية البيانات العامة </w:t>
      </w:r>
      <w:r w:rsidRPr="001A4C5B">
        <w:rPr>
          <w:rFonts w:ascii="Arial" w:hAnsi="Arial" w:cs="Arial"/>
          <w:rtl w:val="0"/>
        </w:rPr>
        <w:t>DPR (2)</w:t>
      </w:r>
    </w:p>
    <w:p w14:paraId="3C7B01FD" w14:textId="1B1D9BC6" w:rsidR="00E42E83" w:rsidRPr="001A4C5B" w:rsidRDefault="00E42E83" w:rsidP="00036D48">
      <w:pPr>
        <w:pStyle w:val="Tekstpodstawowy"/>
        <w:rPr>
          <w:rFonts w:ascii="Arial" w:hAnsi="Arial" w:cs="Arial"/>
        </w:rPr>
      </w:pPr>
      <w:r w:rsidRPr="001A4C5B">
        <w:rPr>
          <w:rFonts w:ascii="Arial" w:hAnsi="Arial" w:cs="Arial"/>
        </w:rPr>
        <w:t xml:space="preserve">الأربعاء 27 يونيو/حزيران: اجتماع </w:t>
      </w:r>
      <w:r w:rsidRPr="001A4C5B">
        <w:rPr>
          <w:rFonts w:ascii="Arial" w:hAnsi="Arial" w:cs="Arial"/>
          <w:rtl w:val="0"/>
        </w:rPr>
        <w:t>GAC</w:t>
      </w:r>
      <w:r w:rsidRPr="001A4C5B">
        <w:rPr>
          <w:rFonts w:ascii="Arial" w:hAnsi="Arial" w:cs="Arial"/>
        </w:rPr>
        <w:t xml:space="preserve"> مع مجلس إدارة </w:t>
      </w:r>
      <w:r w:rsidRPr="001A4C5B">
        <w:rPr>
          <w:rFonts w:ascii="Arial" w:hAnsi="Arial" w:cs="Arial"/>
          <w:rtl w:val="0"/>
        </w:rPr>
        <w:t>ICANN</w:t>
      </w:r>
    </w:p>
    <w:p w14:paraId="59EDABC8" w14:textId="4C42E39F" w:rsidR="00E42E83" w:rsidRPr="001A4C5B" w:rsidRDefault="00E42E83" w:rsidP="00036D48">
      <w:pPr>
        <w:pStyle w:val="Tekstpodstawowy"/>
        <w:rPr>
          <w:rFonts w:ascii="Arial" w:hAnsi="Arial" w:cs="Arial"/>
        </w:rPr>
      </w:pPr>
      <w:r w:rsidRPr="001A4C5B">
        <w:rPr>
          <w:rFonts w:ascii="Arial" w:hAnsi="Arial" w:cs="Arial"/>
        </w:rPr>
        <w:t xml:space="preserve">الأربعاء 27 يونيو/حزيران: صياغة البيان الختامي للجنة </w:t>
      </w:r>
      <w:r w:rsidRPr="001A4C5B">
        <w:rPr>
          <w:rFonts w:ascii="Arial" w:hAnsi="Arial" w:cs="Arial"/>
          <w:rtl w:val="0"/>
        </w:rPr>
        <w:t>GAC</w:t>
      </w:r>
    </w:p>
    <w:p w14:paraId="3D233430" w14:textId="3EC9DECB" w:rsidR="00F8151B" w:rsidRPr="001A4C5B" w:rsidRDefault="00F8151B" w:rsidP="00036D48">
      <w:pPr>
        <w:pStyle w:val="Tekstpodstawowy"/>
        <w:rPr>
          <w:rFonts w:ascii="Arial" w:hAnsi="Arial" w:cs="Arial"/>
        </w:rPr>
      </w:pPr>
      <w:r w:rsidRPr="001A4C5B">
        <w:rPr>
          <w:rFonts w:ascii="Arial" w:hAnsi="Arial" w:cs="Arial"/>
        </w:rPr>
        <w:t xml:space="preserve">الخميس28 يونيو/حزيران: البند المؤقت لبيانات تسجيل نطاقات </w:t>
      </w:r>
      <w:proofErr w:type="spellStart"/>
      <w:r w:rsidRPr="001A4C5B">
        <w:rPr>
          <w:rFonts w:ascii="Arial" w:hAnsi="Arial" w:cs="Arial"/>
          <w:rtl w:val="0"/>
        </w:rPr>
        <w:t>gTLD</w:t>
      </w:r>
      <w:proofErr w:type="spellEnd"/>
    </w:p>
    <w:p w14:paraId="3AF578CE" w14:textId="4723B32A" w:rsidR="00EF36F3" w:rsidRPr="001A4C5B" w:rsidRDefault="00EF36F3" w:rsidP="001A4C5B">
      <w:pPr>
        <w:pStyle w:val="Nagwek2"/>
      </w:pPr>
      <w:r w:rsidRPr="001A4C5B">
        <w:rPr>
          <w:rtl/>
        </w:rPr>
        <w:t>معلومات إضافية</w:t>
      </w:r>
    </w:p>
    <w:p w14:paraId="3F9D23A1" w14:textId="4BFA94CB" w:rsidR="00EF36F3" w:rsidRPr="001A4C5B" w:rsidRDefault="00E00B41" w:rsidP="00EF36F3">
      <w:pPr>
        <w:pStyle w:val="Tekstpodstawowy"/>
        <w:rPr>
          <w:rFonts w:ascii="Arial" w:hAnsi="Arial" w:cs="Arial"/>
        </w:rPr>
      </w:pPr>
      <w:hyperlink r:id="rId10">
        <w:r w:rsidR="00A712FE" w:rsidRPr="001A4C5B">
          <w:rPr>
            <w:rStyle w:val="Hipercze"/>
            <w:rFonts w:ascii="Arial" w:hAnsi="Arial" w:cs="Arial"/>
          </w:rPr>
          <w:t xml:space="preserve">موقع </w:t>
        </w:r>
        <w:r w:rsidR="00A712FE" w:rsidRPr="001A4C5B">
          <w:rPr>
            <w:rStyle w:val="Hipercze"/>
            <w:rFonts w:ascii="Arial" w:hAnsi="Arial" w:cs="Arial"/>
            <w:rtl w:val="0"/>
          </w:rPr>
          <w:t>GAC</w:t>
        </w:r>
        <w:r w:rsidR="00A712FE" w:rsidRPr="001A4C5B">
          <w:rPr>
            <w:rStyle w:val="Hipercze"/>
            <w:rFonts w:ascii="Arial" w:hAnsi="Arial" w:cs="Arial"/>
          </w:rPr>
          <w:t xml:space="preserve"> على الويب</w:t>
        </w:r>
      </w:hyperlink>
    </w:p>
    <w:p w14:paraId="672B2096" w14:textId="31944752" w:rsidR="009A63F4" w:rsidRPr="001A4C5B" w:rsidRDefault="00E00B41" w:rsidP="00EF36F3">
      <w:pPr>
        <w:pStyle w:val="Tekstpodstawowy"/>
        <w:rPr>
          <w:rFonts w:ascii="Arial" w:hAnsi="Arial" w:cs="Arial"/>
        </w:rPr>
      </w:pPr>
      <w:hyperlink r:id="rId11">
        <w:r w:rsidR="00A712FE" w:rsidRPr="001A4C5B">
          <w:rPr>
            <w:rStyle w:val="Hipercze"/>
            <w:rFonts w:ascii="Arial" w:hAnsi="Arial" w:cs="Arial"/>
          </w:rPr>
          <w:t xml:space="preserve">صفحة حماية البيانات/الخصوصية في </w:t>
        </w:r>
        <w:r w:rsidR="00A712FE" w:rsidRPr="001A4C5B">
          <w:rPr>
            <w:rStyle w:val="Hipercze"/>
            <w:rFonts w:ascii="Arial" w:hAnsi="Arial" w:cs="Arial"/>
            <w:rtl w:val="0"/>
          </w:rPr>
          <w:t>ICANN</w:t>
        </w:r>
      </w:hyperlink>
    </w:p>
    <w:p w14:paraId="30102AEC" w14:textId="11DF8BDB" w:rsidR="00BF4CFB" w:rsidRPr="001A4C5B" w:rsidRDefault="00E00B41" w:rsidP="00EF36F3">
      <w:pPr>
        <w:pStyle w:val="Tekstpodstawowy"/>
        <w:rPr>
          <w:rFonts w:ascii="Arial" w:hAnsi="Arial" w:cs="Arial"/>
        </w:rPr>
      </w:pPr>
      <w:hyperlink r:id="rId12">
        <w:r w:rsidR="00A712FE" w:rsidRPr="001A4C5B">
          <w:rPr>
            <w:rStyle w:val="Hipercze"/>
            <w:rFonts w:ascii="Arial" w:hAnsi="Arial" w:cs="Arial"/>
          </w:rPr>
          <w:t xml:space="preserve">الإطار الزمني لاجتماع </w:t>
        </w:r>
        <w:r w:rsidR="00A712FE" w:rsidRPr="001A4C5B">
          <w:rPr>
            <w:rStyle w:val="Hipercze"/>
            <w:rFonts w:ascii="Arial" w:hAnsi="Arial" w:cs="Arial"/>
            <w:rtl w:val="0"/>
          </w:rPr>
          <w:t>ICANN 62</w:t>
        </w:r>
      </w:hyperlink>
    </w:p>
    <w:p w14:paraId="021872AC" w14:textId="77777777" w:rsidR="00EF36F3" w:rsidRPr="001A4C5B" w:rsidRDefault="00EF36F3" w:rsidP="00EF36F3">
      <w:pPr>
        <w:pStyle w:val="Tekstpodstawowy"/>
        <w:rPr>
          <w:rFonts w:ascii="Arial" w:hAnsi="Arial" w:cs="Arial"/>
        </w:rPr>
      </w:pPr>
    </w:p>
    <w:p w14:paraId="0A307C70" w14:textId="42BB5E8F" w:rsidR="00036D48" w:rsidRPr="001A4C5B" w:rsidRDefault="00036D48" w:rsidP="0046328D">
      <w:pPr>
        <w:pStyle w:val="Tekstpodstawowy"/>
        <w:rPr>
          <w:rFonts w:ascii="Arial" w:hAnsi="Arial" w:cs="Arial"/>
        </w:rPr>
      </w:pPr>
    </w:p>
    <w:p w14:paraId="1D48DB79" w14:textId="77777777" w:rsidR="00E15459" w:rsidRPr="001A4C5B" w:rsidRDefault="00E15459" w:rsidP="001A4C5B">
      <w:pPr>
        <w:pStyle w:val="Nagwek2"/>
      </w:pPr>
      <w:bookmarkStart w:id="1" w:name="_Hlk484433727"/>
    </w:p>
    <w:p w14:paraId="0A190E78" w14:textId="636B0FC5" w:rsidR="00E15459" w:rsidRPr="001A4C5B" w:rsidRDefault="00E15459" w:rsidP="001A4C5B">
      <w:pPr>
        <w:pStyle w:val="Nagwek2"/>
      </w:pPr>
      <w:r w:rsidRPr="001A4C5B">
        <w:rPr>
          <w:rtl/>
        </w:rPr>
        <w:t>إدارة الوثائق</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15459" w:rsidRPr="001A4C5B" w14:paraId="5AF9ECC9" w14:textId="77777777" w:rsidTr="00D27E64">
        <w:tc>
          <w:tcPr>
            <w:tcW w:w="3261" w:type="dxa"/>
            <w:vAlign w:val="center"/>
          </w:tcPr>
          <w:p w14:paraId="7E4CC06C" w14:textId="77777777" w:rsidR="00E15459" w:rsidRPr="001A4C5B" w:rsidRDefault="00E15459" w:rsidP="00D27E64">
            <w:pPr>
              <w:ind w:right="-132"/>
              <w:rPr>
                <w:rFonts w:ascii="Arial" w:eastAsiaTheme="minorEastAsia" w:hAnsi="Arial" w:cs="Arial"/>
                <w:b/>
                <w:sz w:val="20"/>
                <w:szCs w:val="20"/>
              </w:rPr>
            </w:pPr>
            <w:r w:rsidRPr="001A4C5B">
              <w:rPr>
                <w:rFonts w:ascii="Arial" w:eastAsiaTheme="minorEastAsia" w:hAnsi="Arial" w:cs="Arial"/>
                <w:b/>
                <w:bCs/>
                <w:sz w:val="20"/>
                <w:szCs w:val="20"/>
              </w:rPr>
              <w:t>العنوان</w:t>
            </w:r>
          </w:p>
        </w:tc>
        <w:tc>
          <w:tcPr>
            <w:tcW w:w="5811" w:type="dxa"/>
            <w:vAlign w:val="center"/>
          </w:tcPr>
          <w:p w14:paraId="617EDD3A" w14:textId="0BC17ACD" w:rsidR="00E15459" w:rsidRPr="001A4C5B" w:rsidRDefault="00E42E83" w:rsidP="00D27E64">
            <w:pPr>
              <w:ind w:right="545"/>
              <w:rPr>
                <w:rFonts w:ascii="Arial" w:eastAsiaTheme="minorEastAsia" w:hAnsi="Arial" w:cs="Arial"/>
                <w:sz w:val="20"/>
                <w:szCs w:val="20"/>
              </w:rPr>
            </w:pPr>
            <w:r w:rsidRPr="001A4C5B">
              <w:rPr>
                <w:rFonts w:ascii="Arial" w:eastAsiaTheme="minorEastAsia" w:hAnsi="Arial" w:cs="Arial"/>
                <w:sz w:val="20"/>
                <w:szCs w:val="20"/>
              </w:rPr>
              <w:t xml:space="preserve">نظرة عامة على قانون حماية البيانات العامة </w:t>
            </w:r>
            <w:r w:rsidRPr="001A4C5B">
              <w:rPr>
                <w:rFonts w:ascii="Arial" w:eastAsiaTheme="minorEastAsia" w:hAnsi="Arial" w:cs="Arial"/>
                <w:sz w:val="20"/>
                <w:rtl w:val="0"/>
              </w:rPr>
              <w:t>GDPR</w:t>
            </w:r>
          </w:p>
        </w:tc>
      </w:tr>
      <w:tr w:rsidR="00E15459" w:rsidRPr="001A4C5B" w14:paraId="6D5C3D47" w14:textId="77777777" w:rsidTr="00D27E64">
        <w:tc>
          <w:tcPr>
            <w:tcW w:w="3261" w:type="dxa"/>
            <w:vAlign w:val="center"/>
          </w:tcPr>
          <w:p w14:paraId="4CC45D6D" w14:textId="77777777" w:rsidR="00E15459" w:rsidRPr="001A4C5B" w:rsidRDefault="00E15459" w:rsidP="00D27E64">
            <w:pPr>
              <w:ind w:right="-132"/>
              <w:rPr>
                <w:rFonts w:ascii="Arial" w:eastAsiaTheme="minorEastAsia" w:hAnsi="Arial" w:cs="Arial"/>
                <w:b/>
                <w:sz w:val="20"/>
                <w:szCs w:val="20"/>
              </w:rPr>
            </w:pPr>
            <w:r w:rsidRPr="001A4C5B">
              <w:rPr>
                <w:rFonts w:ascii="Arial" w:eastAsiaTheme="minorEastAsia" w:hAnsi="Arial" w:cs="Arial"/>
                <w:b/>
                <w:bCs/>
                <w:sz w:val="20"/>
                <w:szCs w:val="20"/>
              </w:rPr>
              <w:t>التوزيع</w:t>
            </w:r>
          </w:p>
        </w:tc>
        <w:tc>
          <w:tcPr>
            <w:tcW w:w="5811" w:type="dxa"/>
            <w:vAlign w:val="center"/>
          </w:tcPr>
          <w:p w14:paraId="244104A7" w14:textId="77777777" w:rsidR="00E15459" w:rsidRPr="001A4C5B" w:rsidRDefault="00E15459" w:rsidP="00D27E64">
            <w:pPr>
              <w:ind w:right="545"/>
              <w:rPr>
                <w:rFonts w:ascii="Arial" w:eastAsiaTheme="minorEastAsia" w:hAnsi="Arial" w:cs="Arial"/>
                <w:sz w:val="20"/>
                <w:szCs w:val="20"/>
              </w:rPr>
            </w:pPr>
            <w:r w:rsidRPr="001A4C5B">
              <w:rPr>
                <w:rFonts w:ascii="Arial" w:eastAsiaTheme="minorEastAsia" w:hAnsi="Arial" w:cs="Arial"/>
                <w:sz w:val="20"/>
                <w:szCs w:val="20"/>
              </w:rPr>
              <w:t xml:space="preserve">أعضاء </w:t>
            </w:r>
            <w:r w:rsidRPr="001A4C5B">
              <w:rPr>
                <w:rFonts w:ascii="Arial" w:eastAsiaTheme="minorEastAsia" w:hAnsi="Arial" w:cs="Arial"/>
                <w:sz w:val="20"/>
                <w:rtl w:val="0"/>
              </w:rPr>
              <w:t>GAC</w:t>
            </w:r>
          </w:p>
        </w:tc>
      </w:tr>
      <w:tr w:rsidR="00E15459" w:rsidRPr="001A4C5B" w14:paraId="5BBD5348" w14:textId="77777777" w:rsidTr="00D27E64">
        <w:tc>
          <w:tcPr>
            <w:tcW w:w="3261" w:type="dxa"/>
            <w:vAlign w:val="center"/>
          </w:tcPr>
          <w:p w14:paraId="06A7B8FE" w14:textId="77777777" w:rsidR="00E15459" w:rsidRPr="001A4C5B" w:rsidRDefault="00E15459" w:rsidP="00D27E64">
            <w:pPr>
              <w:ind w:right="-132"/>
              <w:rPr>
                <w:rFonts w:ascii="Arial" w:eastAsiaTheme="minorEastAsia" w:hAnsi="Arial" w:cs="Arial"/>
                <w:b/>
                <w:sz w:val="20"/>
                <w:szCs w:val="20"/>
              </w:rPr>
            </w:pPr>
            <w:r w:rsidRPr="001A4C5B">
              <w:rPr>
                <w:rFonts w:ascii="Arial" w:eastAsiaTheme="minorEastAsia" w:hAnsi="Arial" w:cs="Arial"/>
                <w:b/>
                <w:bCs/>
                <w:sz w:val="20"/>
                <w:szCs w:val="20"/>
              </w:rPr>
              <w:t>تاريخ التوزيع</w:t>
            </w:r>
          </w:p>
        </w:tc>
        <w:tc>
          <w:tcPr>
            <w:tcW w:w="5811" w:type="dxa"/>
            <w:vAlign w:val="center"/>
          </w:tcPr>
          <w:p w14:paraId="6B70A6D6" w14:textId="00CBB9C0" w:rsidR="00E15459" w:rsidRPr="001A4C5B" w:rsidRDefault="00A25553" w:rsidP="00D27E64">
            <w:pPr>
              <w:ind w:right="545"/>
              <w:rPr>
                <w:rFonts w:ascii="Arial" w:eastAsiaTheme="minorEastAsia" w:hAnsi="Arial" w:cs="Arial"/>
                <w:sz w:val="20"/>
                <w:szCs w:val="20"/>
              </w:rPr>
            </w:pPr>
            <w:r w:rsidRPr="001A4C5B">
              <w:rPr>
                <w:rFonts w:ascii="Arial" w:eastAsiaTheme="minorEastAsia" w:hAnsi="Arial" w:cs="Arial"/>
                <w:sz w:val="20"/>
                <w:szCs w:val="20"/>
              </w:rPr>
              <w:t>6 يونيو/حزيران 2018</w:t>
            </w:r>
          </w:p>
        </w:tc>
      </w:tr>
      <w:bookmarkEnd w:id="1"/>
    </w:tbl>
    <w:p w14:paraId="33DD9A1F" w14:textId="0FB73C68" w:rsidR="005B7B51" w:rsidRPr="001A4C5B" w:rsidRDefault="005B7B51" w:rsidP="00E15459">
      <w:pPr>
        <w:pStyle w:val="Tekstpodstawowy"/>
        <w:ind w:right="545"/>
        <w:rPr>
          <w:rFonts w:ascii="Arial" w:hAnsi="Arial" w:cs="Arial"/>
        </w:rPr>
      </w:pPr>
    </w:p>
    <w:sectPr w:rsidR="005B7B51" w:rsidRPr="001A4C5B" w:rsidSect="007A174E">
      <w:headerReference w:type="default" r:id="rId13"/>
      <w:footerReference w:type="default" r:id="rId14"/>
      <w:headerReference w:type="first" r:id="rId15"/>
      <w:footerReference w:type="first" r:id="rId16"/>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C0912" w14:textId="77777777" w:rsidR="00E00B41" w:rsidRDefault="00E00B41" w:rsidP="00A24449">
      <w:r>
        <w:separator/>
      </w:r>
    </w:p>
  </w:endnote>
  <w:endnote w:type="continuationSeparator" w:id="0">
    <w:p w14:paraId="203F5AB9" w14:textId="77777777" w:rsidR="00E00B41" w:rsidRDefault="00E00B41"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BFA9" w14:textId="77777777" w:rsidR="00776376" w:rsidRPr="001A4C5B" w:rsidRDefault="00776376" w:rsidP="002276FD">
    <w:pPr>
      <w:pStyle w:val="Stopka"/>
      <w:ind w:left="-567" w:right="261"/>
      <w:rPr>
        <w:rFonts w:ascii="Arial" w:hAnsi="Arial" w:cs="Arial"/>
      </w:rPr>
    </w:pPr>
  </w:p>
  <w:p w14:paraId="1F6A8333" w14:textId="67D834FC" w:rsidR="00776376" w:rsidRPr="001A4C5B" w:rsidRDefault="00776376" w:rsidP="00E15459">
    <w:pPr>
      <w:pBdr>
        <w:top w:val="single" w:sz="18" w:space="1" w:color="1F497D"/>
      </w:pBdr>
      <w:spacing w:before="240"/>
      <w:ind w:right="545"/>
      <w:rPr>
        <w:rFonts w:ascii="Arial" w:hAnsi="Arial" w:cs="Arial"/>
        <w:color w:val="00408E"/>
      </w:rPr>
    </w:pPr>
    <w:r w:rsidRPr="001A4C5B">
      <w:rPr>
        <w:rFonts w:ascii="Arial" w:hAnsi="Arial" w:cs="Arial"/>
        <w:color w:val="00408E"/>
        <w:sz w:val="16"/>
        <w:szCs w:val="16"/>
      </w:rPr>
      <w:t xml:space="preserve">       </w:t>
    </w:r>
    <w:r w:rsidRPr="001A4C5B">
      <w:rPr>
        <w:rFonts w:ascii="Arial" w:hAnsi="Arial" w:cs="Arial"/>
      </w:rPr>
      <w:tab/>
    </w:r>
    <w:r w:rsidRPr="001A4C5B">
      <w:rPr>
        <w:rFonts w:ascii="Arial" w:hAnsi="Arial" w:cs="Arial"/>
      </w:rPr>
      <w:tab/>
    </w:r>
    <w:r w:rsidRPr="001A4C5B">
      <w:rPr>
        <w:rFonts w:ascii="Arial" w:hAnsi="Arial" w:cs="Arial"/>
        <w:color w:val="00408E"/>
        <w:sz w:val="16"/>
        <w:szCs w:val="16"/>
      </w:rPr>
      <w:t xml:space="preserve">      </w:t>
    </w:r>
    <w:r w:rsidRPr="001A4C5B">
      <w:rPr>
        <w:rFonts w:ascii="Arial" w:hAnsi="Arial" w:cs="Arial"/>
      </w:rPr>
      <w:tab/>
    </w:r>
    <w:r w:rsidRPr="001A4C5B">
      <w:rPr>
        <w:rFonts w:ascii="Arial" w:hAnsi="Arial" w:cs="Arial"/>
        <w:color w:val="00408E"/>
        <w:sz w:val="16"/>
        <w:szCs w:val="16"/>
      </w:rPr>
      <w:t xml:space="preserve">                </w:t>
    </w:r>
    <w:r w:rsidRPr="001A4C5B">
      <w:rPr>
        <w:rFonts w:ascii="Arial" w:hAnsi="Arial" w:cs="Arial"/>
      </w:rPr>
      <w:tab/>
    </w:r>
    <w:r w:rsidRPr="001A4C5B">
      <w:rPr>
        <w:rFonts w:ascii="Arial" w:hAnsi="Arial" w:cs="Arial"/>
      </w:rPr>
      <w:tab/>
    </w:r>
    <w:r w:rsidRPr="001A4C5B">
      <w:rPr>
        <w:rFonts w:ascii="Arial" w:hAnsi="Arial" w:cs="Arial"/>
      </w:rPr>
      <w:tab/>
    </w:r>
    <w:r w:rsidRPr="001A4C5B">
      <w:rPr>
        <w:rFonts w:ascii="Arial" w:hAnsi="Arial" w:cs="Arial"/>
      </w:rPr>
      <w:tab/>
    </w:r>
    <w:r w:rsidRPr="001A4C5B">
      <w:rPr>
        <w:rFonts w:ascii="Arial" w:hAnsi="Arial" w:cs="Arial"/>
      </w:rPr>
      <w:tab/>
    </w:r>
    <w:r w:rsidRPr="001A4C5B">
      <w:rPr>
        <w:rFonts w:ascii="Arial" w:hAnsi="Arial" w:cs="Arial"/>
      </w:rPr>
      <w:tab/>
    </w:r>
    <w:r w:rsidRPr="001A4C5B">
      <w:rPr>
        <w:rFonts w:ascii="Arial" w:hAnsi="Arial" w:cs="Arial"/>
      </w:rPr>
      <w:tab/>
    </w:r>
    <w:r w:rsidRPr="001A4C5B">
      <w:rPr>
        <w:rFonts w:ascii="Arial" w:hAnsi="Arial" w:cs="Arial"/>
      </w:rPr>
      <w:tab/>
    </w:r>
    <w:r w:rsidRPr="001A4C5B">
      <w:rPr>
        <w:rFonts w:ascii="Arial" w:hAnsi="Arial" w:cs="Arial"/>
        <w:color w:val="00408E"/>
        <w:sz w:val="16"/>
        <w:szCs w:val="16"/>
      </w:rPr>
      <w:t xml:space="preserve"> صفحة </w:t>
    </w:r>
    <w:r w:rsidRPr="001A4C5B">
      <w:rPr>
        <w:rFonts w:ascii="Arial" w:hAnsi="Arial" w:cs="Arial"/>
        <w:color w:val="00408E"/>
        <w:sz w:val="16"/>
        <w:szCs w:val="16"/>
      </w:rPr>
      <w:fldChar w:fldCharType="begin"/>
    </w:r>
    <w:r w:rsidRPr="001A4C5B">
      <w:rPr>
        <w:rFonts w:ascii="Arial" w:hAnsi="Arial" w:cs="Arial"/>
        <w:color w:val="00408E"/>
        <w:sz w:val="16"/>
        <w:szCs w:val="16"/>
      </w:rPr>
      <w:instrText xml:space="preserve"> PAGE </w:instrText>
    </w:r>
    <w:r w:rsidRPr="001A4C5B">
      <w:rPr>
        <w:rFonts w:ascii="Arial" w:hAnsi="Arial" w:cs="Arial"/>
        <w:color w:val="00408E"/>
        <w:sz w:val="16"/>
        <w:szCs w:val="16"/>
      </w:rPr>
      <w:fldChar w:fldCharType="separate"/>
    </w:r>
    <w:r w:rsidR="0066617D">
      <w:rPr>
        <w:rFonts w:ascii="Arial" w:hAnsi="Arial" w:cs="Arial"/>
        <w:noProof/>
        <w:color w:val="00408E"/>
        <w:sz w:val="16"/>
        <w:szCs w:val="16"/>
      </w:rPr>
      <w:t>3</w:t>
    </w:r>
    <w:r w:rsidRPr="001A4C5B">
      <w:rPr>
        <w:rFonts w:ascii="Arial" w:hAnsi="Arial" w:cs="Arial"/>
        <w:color w:val="00408E"/>
        <w:sz w:val="16"/>
        <w:szCs w:val="16"/>
      </w:rPr>
      <w:fldChar w:fldCharType="end"/>
    </w:r>
    <w:r w:rsidRPr="001A4C5B">
      <w:rPr>
        <w:rFonts w:ascii="Arial" w:hAnsi="Arial" w:cs="Arial"/>
        <w:color w:val="00408E"/>
        <w:sz w:val="16"/>
        <w:szCs w:val="16"/>
      </w:rPr>
      <w:t xml:space="preserve"> من </w:t>
    </w:r>
    <w:r w:rsidRPr="001A4C5B">
      <w:rPr>
        <w:rFonts w:ascii="Arial" w:hAnsi="Arial" w:cs="Arial"/>
        <w:color w:val="00408E"/>
        <w:sz w:val="16"/>
        <w:szCs w:val="16"/>
      </w:rPr>
      <w:fldChar w:fldCharType="begin"/>
    </w:r>
    <w:r w:rsidRPr="001A4C5B">
      <w:rPr>
        <w:rFonts w:ascii="Arial" w:hAnsi="Arial" w:cs="Arial"/>
        <w:color w:val="00408E"/>
        <w:sz w:val="16"/>
        <w:szCs w:val="16"/>
      </w:rPr>
      <w:instrText xml:space="preserve"> NUMPAGES  </w:instrText>
    </w:r>
    <w:r w:rsidRPr="001A4C5B">
      <w:rPr>
        <w:rFonts w:ascii="Arial" w:hAnsi="Arial" w:cs="Arial"/>
        <w:color w:val="00408E"/>
        <w:sz w:val="16"/>
        <w:szCs w:val="16"/>
      </w:rPr>
      <w:fldChar w:fldCharType="separate"/>
    </w:r>
    <w:r w:rsidR="0066617D">
      <w:rPr>
        <w:rFonts w:ascii="Arial" w:hAnsi="Arial" w:cs="Arial"/>
        <w:noProof/>
        <w:color w:val="00408E"/>
        <w:sz w:val="16"/>
        <w:szCs w:val="16"/>
      </w:rPr>
      <w:t>3</w:t>
    </w:r>
    <w:r w:rsidRPr="001A4C5B">
      <w:rPr>
        <w:rFonts w:ascii="Arial" w:hAnsi="Arial" w:cs="Arial"/>
        <w:color w:val="00408E"/>
        <w:sz w:val="16"/>
        <w:szCs w:val="16"/>
      </w:rPr>
      <w:fldChar w:fldCharType="end"/>
    </w:r>
  </w:p>
  <w:p w14:paraId="5437F5F8" w14:textId="77777777" w:rsidR="00776376" w:rsidRPr="001A4C5B" w:rsidRDefault="00776376" w:rsidP="003D7A8D">
    <w:pPr>
      <w:pStyle w:val="Stopka"/>
      <w:tabs>
        <w:tab w:val="clear" w:pos="9360"/>
        <w:tab w:val="right" w:pos="8931"/>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29D5" w14:textId="77777777" w:rsidR="00776376" w:rsidRPr="00C2562C" w:rsidRDefault="00776376" w:rsidP="00740F60">
    <w:pPr>
      <w:pBdr>
        <w:top w:val="single" w:sz="18" w:space="1" w:color="1F497D"/>
      </w:pBdr>
      <w:spacing w:before="240"/>
      <w:ind w:right="544"/>
      <w:rPr>
        <w:color w:val="00408E"/>
        <w:sz w:val="2"/>
        <w:szCs w:val="2"/>
      </w:rPr>
    </w:pPr>
  </w:p>
  <w:p w14:paraId="6CEFBB86" w14:textId="77777777" w:rsidR="00776376" w:rsidRPr="00B026C8" w:rsidRDefault="00776376" w:rsidP="00740F60">
    <w:pPr>
      <w:pStyle w:val="Bezodstpw"/>
      <w:ind w:right="544"/>
      <w:jc w:val="right"/>
      <w:rPr>
        <w:sz w:val="16"/>
        <w:szCs w:val="16"/>
      </w:rPr>
    </w:pPr>
    <w:r>
      <w:rPr>
        <w:sz w:val="16"/>
        <w:szCs w:val="16"/>
      </w:rPr>
      <w:t xml:space="preserve">203 دروموند ستريت، كارلتون، فيكتوريا 3053 </w:t>
    </w:r>
  </w:p>
  <w:p w14:paraId="43F9FA24" w14:textId="77777777" w:rsidR="00776376" w:rsidRPr="00B026C8" w:rsidRDefault="00776376" w:rsidP="00740F60">
    <w:pPr>
      <w:pStyle w:val="Bezodstpw"/>
      <w:ind w:right="544"/>
      <w:jc w:val="right"/>
      <w:rPr>
        <w:sz w:val="16"/>
        <w:szCs w:val="16"/>
      </w:rPr>
    </w:pPr>
    <w:r>
      <w:rPr>
        <w:sz w:val="16"/>
        <w:szCs w:val="16"/>
      </w:rPr>
      <w:t>7222 9650 03</w:t>
    </w:r>
  </w:p>
  <w:p w14:paraId="67FE17A9" w14:textId="77777777" w:rsidR="00776376" w:rsidRPr="00B026C8" w:rsidRDefault="00776376" w:rsidP="00740F60">
    <w:pPr>
      <w:pStyle w:val="Bezodstpw"/>
      <w:ind w:right="544"/>
      <w:jc w:val="right"/>
      <w:rPr>
        <w:sz w:val="16"/>
        <w:szCs w:val="16"/>
      </w:rPr>
    </w:pPr>
    <w:r>
      <w:rPr>
        <w:sz w:val="16"/>
        <w:rtl w:val="0"/>
      </w:rPr>
      <w:t>www.acig.com.au</w:t>
    </w:r>
  </w:p>
  <w:p w14:paraId="19DE8D68" w14:textId="77777777" w:rsidR="00776376" w:rsidRDefault="00776376" w:rsidP="003D7A8D">
    <w:pPr>
      <w:pStyle w:val="Stopka"/>
      <w:jc w:val="center"/>
      <w:rPr>
        <w:color w:val="00408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EB285" w14:textId="77777777" w:rsidR="00E00B41" w:rsidRDefault="00E00B41" w:rsidP="00A24449">
      <w:r>
        <w:separator/>
      </w:r>
    </w:p>
  </w:footnote>
  <w:footnote w:type="continuationSeparator" w:id="0">
    <w:p w14:paraId="1DDDD9E0" w14:textId="77777777" w:rsidR="00E00B41" w:rsidRDefault="00E00B41" w:rsidP="00A24449">
      <w:r>
        <w:continuationSeparator/>
      </w:r>
    </w:p>
  </w:footnote>
  <w:footnote w:id="1">
    <w:p w14:paraId="68AA3F06" w14:textId="77777777" w:rsidR="009A63F4" w:rsidRPr="009A63F4" w:rsidRDefault="009A63F4" w:rsidP="009A63F4">
      <w:pPr>
        <w:rPr>
          <w:rFonts w:ascii="Arabic Transparent" w:hAnsi="Arabic Transparent"/>
          <w:sz w:val="18"/>
          <w:szCs w:val="18"/>
          <w:lang w:val="en-AU"/>
        </w:rPr>
      </w:pPr>
      <w:r>
        <w:rPr>
          <w:rStyle w:val="Odwoanieprzypisudolnego"/>
          <w:rFonts w:ascii="Arabic Transparent" w:hAnsi="Arabic Transparent"/>
          <w:sz w:val="18"/>
          <w:rtl w:val="0"/>
        </w:rPr>
        <w:footnoteRef/>
      </w:r>
      <w:r>
        <w:rPr>
          <w:rFonts w:ascii="Arabic Transparent" w:hAnsi="Arabic Transparent"/>
          <w:sz w:val="18"/>
          <w:szCs w:val="18"/>
        </w:rPr>
        <w:t xml:space="preserve"> القرار </w:t>
      </w:r>
      <w:r>
        <w:rPr>
          <w:rFonts w:ascii="Arabic Transparent" w:hAnsi="Arabic Transparent"/>
          <w:color w:val="333333"/>
          <w:sz w:val="18"/>
          <w:szCs w:val="18"/>
          <w:shd w:val="clear" w:color="auto" w:fill="FFFFFF"/>
        </w:rPr>
        <w:t>2018.05.17.09</w:t>
      </w:r>
    </w:p>
    <w:p w14:paraId="1FB2852A" w14:textId="3773DC85" w:rsidR="009A63F4" w:rsidRDefault="009A63F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CD3B" w14:textId="77777777" w:rsidR="00776376" w:rsidRDefault="00776376" w:rsidP="002276FD">
    <w:pPr>
      <w:pStyle w:val="Nagwek"/>
      <w:tabs>
        <w:tab w:val="clear" w:pos="4680"/>
        <w:tab w:val="clear" w:pos="9360"/>
      </w:tabs>
      <w:ind w:left="7920" w:right="-306" w:firstLine="444"/>
    </w:pPr>
    <w:r>
      <w:rPr>
        <w:noProof/>
        <w:lang w:val="pl-PL" w:eastAsia="ja-JP" w:bidi="ar-SA"/>
      </w:rPr>
      <w:drawing>
        <wp:inline distT="0" distB="0" distL="0" distR="0" wp14:anchorId="2EFA62C4" wp14:editId="56ABB837">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Pr>
        <w:noProof/>
        <w:lang w:val="pl-PL" w:eastAsia="ja-JP" w:bidi="ar-SA"/>
      </w:rPr>
      <mc:AlternateContent>
        <mc:Choice Requires="wps">
          <w:drawing>
            <wp:anchor distT="0" distB="0" distL="114300" distR="114300" simplePos="0" relativeHeight="251657728" behindDoc="1" locked="0" layoutInCell="1" allowOverlap="1" wp14:anchorId="14C70CF8" wp14:editId="33494AA7">
              <wp:simplePos x="0" y="0"/>
              <wp:positionH relativeFrom="column">
                <wp:posOffset>4536440</wp:posOffset>
              </wp:positionH>
              <wp:positionV relativeFrom="paragraph">
                <wp:posOffset>222885</wp:posOffset>
              </wp:positionV>
              <wp:extent cx="1340485" cy="297815"/>
              <wp:effectExtent l="2540" t="381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97815"/>
                      </a:xfrm>
                      <a:prstGeom prst="rect">
                        <a:avLst/>
                      </a:prstGeom>
                      <a:solidFill>
                        <a:srgbClr val="FFFFFF"/>
                      </a:solidFill>
                      <a:ln>
                        <a:noFill/>
                      </a:ln>
                      <a:extLst>
                        <a:ext uri="{91240B29-F687-4f45-9708-019B960494DF}">
                          <a14:hiddenLine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6E2D9AF" w14:textId="77777777" w:rsidR="00776376" w:rsidRPr="001A4C5B" w:rsidRDefault="00776376" w:rsidP="00CD30A8">
                          <w:pPr>
                            <w:ind w:left="-142"/>
                            <w:rPr>
                              <w:rFonts w:ascii="Arial" w:hAnsi="Arial" w:cs="Arial"/>
                              <w:color w:val="C00000"/>
                              <w:sz w:val="32"/>
                              <w:szCs w:val="32"/>
                            </w:rPr>
                          </w:pPr>
                          <w:r w:rsidRPr="001A4C5B">
                            <w:rPr>
                              <w:rFonts w:ascii="Arial" w:hAnsi="Arial" w:cs="Arial"/>
                              <w:color w:val="C00000"/>
                              <w:sz w:val="32"/>
                              <w:szCs w:val="32"/>
                            </w:rPr>
                            <w:t>أمانة سر اللجنة الاستشارية الحكومية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0CF8" id="_x0000_t202" coordsize="21600,21600" o:spt="202" path="m,l,21600r21600,l21600,xe">
              <v:stroke joinstyle="miter"/>
              <v:path gradientshapeok="t" o:connecttype="rect"/>
            </v:shapetype>
            <v:shape id="Text Box 4" o:spid="_x0000_s1026" type="#_x0000_t202" style="position:absolute;left:0;text-align:left;margin-left:357.2pt;margin-top:17.55pt;width:105.5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" stroked="f">
              <v:textbox>
                <w:txbxContent>
                  <w:p w14:paraId="46E2D9AF" w14:textId="77777777" w:rsidR="00776376" w:rsidRPr="001A4C5B" w:rsidRDefault="00776376" w:rsidP="00CD30A8">
                    <w:pPr>
                      <w:ind w:left="-142"/>
                      <w:rPr>
                        <w:rFonts w:ascii="Arial" w:hAnsi="Arial" w:cs="Arial"/>
                        <w:color w:val="C00000"/>
                        <w:sz w:val="32"/>
                        <w:szCs w:val="32"/>
                      </w:rPr>
                    </w:pPr>
                    <w:r w:rsidRPr="001A4C5B">
                      <w:rPr>
                        <w:rFonts w:ascii="Arial" w:hAnsi="Arial" w:cs="Arial"/>
                        <w:color w:val="C00000"/>
                        <w:sz w:val="32"/>
                        <w:szCs w:val="32"/>
                      </w:rPr>
                      <w:t>أمانة سر اللجنة الاستشارية الحكومية</w:t>
                    </w: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6697E" w14:textId="77777777" w:rsidR="00776376" w:rsidRDefault="00776376" w:rsidP="00C2562C">
    <w:pPr>
      <w:pStyle w:val="Nagwek"/>
      <w:tabs>
        <w:tab w:val="clear" w:pos="9360"/>
      </w:tabs>
      <w:ind w:left="-851"/>
      <w:jc w:val="center"/>
    </w:pPr>
    <w:r>
      <w:rPr>
        <w:noProof/>
        <w:lang w:val="pl-PL" w:eastAsia="ja-JP" w:bidi="ar-SA"/>
      </w:rPr>
      <w:drawing>
        <wp:inline distT="0" distB="0" distL="0" distR="0" wp14:anchorId="1DC1CA3A" wp14:editId="2E77D994">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FE7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A2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8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DE9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4F4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C48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2D0D2"/>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E4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6B0A"/>
    <w:multiLevelType w:val="hybridMultilevel"/>
    <w:tmpl w:val="359AD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3E09C1"/>
    <w:multiLevelType w:val="hybridMultilevel"/>
    <w:tmpl w:val="E76A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92396"/>
    <w:multiLevelType w:val="multilevel"/>
    <w:tmpl w:val="F056D206"/>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13" w15:restartNumberingAfterBreak="0">
    <w:nsid w:val="0A700F5E"/>
    <w:multiLevelType w:val="hybridMultilevel"/>
    <w:tmpl w:val="72A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D54EB"/>
    <w:multiLevelType w:val="hybridMultilevel"/>
    <w:tmpl w:val="2158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72868"/>
    <w:multiLevelType w:val="hybridMultilevel"/>
    <w:tmpl w:val="AA46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944F8"/>
    <w:multiLevelType w:val="hybridMultilevel"/>
    <w:tmpl w:val="B740BC3C"/>
    <w:lvl w:ilvl="0" w:tplc="D06A2CF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110C2"/>
    <w:multiLevelType w:val="hybridMultilevel"/>
    <w:tmpl w:val="0FF2209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523C5"/>
    <w:multiLevelType w:val="hybridMultilevel"/>
    <w:tmpl w:val="039E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245BD"/>
    <w:multiLevelType w:val="hybridMultilevel"/>
    <w:tmpl w:val="3446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94643"/>
    <w:multiLevelType w:val="hybridMultilevel"/>
    <w:tmpl w:val="56C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271BD"/>
    <w:multiLevelType w:val="hybridMultilevel"/>
    <w:tmpl w:val="B50E8FE2"/>
    <w:lvl w:ilvl="0" w:tplc="1D187DE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83D1D"/>
    <w:multiLevelType w:val="hybridMultilevel"/>
    <w:tmpl w:val="6E60CC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4B3203"/>
    <w:multiLevelType w:val="hybridMultilevel"/>
    <w:tmpl w:val="9EF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7F5318"/>
    <w:multiLevelType w:val="hybridMultilevel"/>
    <w:tmpl w:val="A88A34A0"/>
    <w:lvl w:ilvl="0" w:tplc="66068FF0">
      <w:start w:val="1"/>
      <w:numFmt w:val="bullet"/>
      <w:pStyle w:val="Listapunktowana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27" w15:restartNumberingAfterBreak="0">
    <w:nsid w:val="629C3AB7"/>
    <w:multiLevelType w:val="hybridMultilevel"/>
    <w:tmpl w:val="6AB64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DD5D1E"/>
    <w:multiLevelType w:val="hybridMultilevel"/>
    <w:tmpl w:val="29A86D82"/>
    <w:lvl w:ilvl="0" w:tplc="BA340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52E84"/>
    <w:multiLevelType w:val="hybridMultilevel"/>
    <w:tmpl w:val="BE56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5"/>
  </w:num>
  <w:num w:numId="14">
    <w:abstractNumId w:val="13"/>
  </w:num>
  <w:num w:numId="15">
    <w:abstractNumId w:val="19"/>
  </w:num>
  <w:num w:numId="16">
    <w:abstractNumId w:val="20"/>
  </w:num>
  <w:num w:numId="17">
    <w:abstractNumId w:val="10"/>
  </w:num>
  <w:num w:numId="18">
    <w:abstractNumId w:val="18"/>
  </w:num>
  <w:num w:numId="19">
    <w:abstractNumId w:val="23"/>
  </w:num>
  <w:num w:numId="20">
    <w:abstractNumId w:val="29"/>
  </w:num>
  <w:num w:numId="21">
    <w:abstractNumId w:val="24"/>
  </w:num>
  <w:num w:numId="22">
    <w:abstractNumId w:val="21"/>
  </w:num>
  <w:num w:numId="23">
    <w:abstractNumId w:val="12"/>
  </w:num>
  <w:num w:numId="24">
    <w:abstractNumId w:val="27"/>
  </w:num>
  <w:num w:numId="25">
    <w:abstractNumId w:val="17"/>
  </w:num>
  <w:num w:numId="26">
    <w:abstractNumId w:val="28"/>
  </w:num>
  <w:num w:numId="27">
    <w:abstractNumId w:val="22"/>
  </w:num>
  <w:num w:numId="28">
    <w:abstractNumId w:val="16"/>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0C"/>
    <w:rsid w:val="00001658"/>
    <w:rsid w:val="00017DDB"/>
    <w:rsid w:val="00023512"/>
    <w:rsid w:val="0002714F"/>
    <w:rsid w:val="000328A2"/>
    <w:rsid w:val="00036D48"/>
    <w:rsid w:val="00061B16"/>
    <w:rsid w:val="00083BC8"/>
    <w:rsid w:val="00085123"/>
    <w:rsid w:val="000964B7"/>
    <w:rsid w:val="000966BB"/>
    <w:rsid w:val="000B4BF2"/>
    <w:rsid w:val="000C0FD7"/>
    <w:rsid w:val="000C5167"/>
    <w:rsid w:val="000C6B2E"/>
    <w:rsid w:val="00114EBF"/>
    <w:rsid w:val="0012744C"/>
    <w:rsid w:val="00130A75"/>
    <w:rsid w:val="00137BBE"/>
    <w:rsid w:val="001577F4"/>
    <w:rsid w:val="0016195D"/>
    <w:rsid w:val="00171D7F"/>
    <w:rsid w:val="0018643A"/>
    <w:rsid w:val="00192306"/>
    <w:rsid w:val="001A4C5B"/>
    <w:rsid w:val="001B337F"/>
    <w:rsid w:val="0020769E"/>
    <w:rsid w:val="002110FA"/>
    <w:rsid w:val="002276FD"/>
    <w:rsid w:val="00227726"/>
    <w:rsid w:val="00241C6F"/>
    <w:rsid w:val="00250279"/>
    <w:rsid w:val="0025104A"/>
    <w:rsid w:val="00262ACB"/>
    <w:rsid w:val="00273354"/>
    <w:rsid w:val="002A3393"/>
    <w:rsid w:val="002B694A"/>
    <w:rsid w:val="002B77F7"/>
    <w:rsid w:val="002F7386"/>
    <w:rsid w:val="00302AA4"/>
    <w:rsid w:val="00327A1A"/>
    <w:rsid w:val="003308BB"/>
    <w:rsid w:val="003401B4"/>
    <w:rsid w:val="003501C8"/>
    <w:rsid w:val="003643C4"/>
    <w:rsid w:val="003644DC"/>
    <w:rsid w:val="00364F2E"/>
    <w:rsid w:val="003961C1"/>
    <w:rsid w:val="003A1AB7"/>
    <w:rsid w:val="003D7A8D"/>
    <w:rsid w:val="00400344"/>
    <w:rsid w:val="00406CEE"/>
    <w:rsid w:val="00412A64"/>
    <w:rsid w:val="00416093"/>
    <w:rsid w:val="004256A5"/>
    <w:rsid w:val="00454CBD"/>
    <w:rsid w:val="0046328D"/>
    <w:rsid w:val="004656DC"/>
    <w:rsid w:val="00477F27"/>
    <w:rsid w:val="00481300"/>
    <w:rsid w:val="00482610"/>
    <w:rsid w:val="004837E2"/>
    <w:rsid w:val="00492E56"/>
    <w:rsid w:val="00495CB5"/>
    <w:rsid w:val="004A58B8"/>
    <w:rsid w:val="004D747F"/>
    <w:rsid w:val="004E22C7"/>
    <w:rsid w:val="004E2498"/>
    <w:rsid w:val="004E28DA"/>
    <w:rsid w:val="0051347B"/>
    <w:rsid w:val="00546686"/>
    <w:rsid w:val="00577F86"/>
    <w:rsid w:val="00580A87"/>
    <w:rsid w:val="00583EE4"/>
    <w:rsid w:val="005B7B51"/>
    <w:rsid w:val="005E2917"/>
    <w:rsid w:val="006075B6"/>
    <w:rsid w:val="00624AEC"/>
    <w:rsid w:val="006478F6"/>
    <w:rsid w:val="00652018"/>
    <w:rsid w:val="0066439B"/>
    <w:rsid w:val="0066617D"/>
    <w:rsid w:val="00672691"/>
    <w:rsid w:val="006735F6"/>
    <w:rsid w:val="0067792E"/>
    <w:rsid w:val="00683C6C"/>
    <w:rsid w:val="006B4355"/>
    <w:rsid w:val="00700CF9"/>
    <w:rsid w:val="00722431"/>
    <w:rsid w:val="0072423D"/>
    <w:rsid w:val="00731C3E"/>
    <w:rsid w:val="00740F60"/>
    <w:rsid w:val="007670C2"/>
    <w:rsid w:val="00776376"/>
    <w:rsid w:val="007A174E"/>
    <w:rsid w:val="007D32B7"/>
    <w:rsid w:val="007E013D"/>
    <w:rsid w:val="007F5CD3"/>
    <w:rsid w:val="0080662D"/>
    <w:rsid w:val="00815A76"/>
    <w:rsid w:val="00817EAC"/>
    <w:rsid w:val="008246F4"/>
    <w:rsid w:val="00846BA1"/>
    <w:rsid w:val="00854588"/>
    <w:rsid w:val="008822A3"/>
    <w:rsid w:val="00882354"/>
    <w:rsid w:val="00896848"/>
    <w:rsid w:val="008A2A22"/>
    <w:rsid w:val="008B2849"/>
    <w:rsid w:val="008C4F95"/>
    <w:rsid w:val="009123B6"/>
    <w:rsid w:val="00921AAD"/>
    <w:rsid w:val="00921B8C"/>
    <w:rsid w:val="00962727"/>
    <w:rsid w:val="00974BD6"/>
    <w:rsid w:val="0099631A"/>
    <w:rsid w:val="009A63F4"/>
    <w:rsid w:val="009C77A8"/>
    <w:rsid w:val="00A07882"/>
    <w:rsid w:val="00A12C22"/>
    <w:rsid w:val="00A24449"/>
    <w:rsid w:val="00A25553"/>
    <w:rsid w:val="00A40DB0"/>
    <w:rsid w:val="00A55D0C"/>
    <w:rsid w:val="00A660EB"/>
    <w:rsid w:val="00A712FE"/>
    <w:rsid w:val="00A742DD"/>
    <w:rsid w:val="00A7470D"/>
    <w:rsid w:val="00A779C6"/>
    <w:rsid w:val="00A86B36"/>
    <w:rsid w:val="00AA0126"/>
    <w:rsid w:val="00AB2562"/>
    <w:rsid w:val="00AB26F7"/>
    <w:rsid w:val="00AC5490"/>
    <w:rsid w:val="00AC54BB"/>
    <w:rsid w:val="00AD1076"/>
    <w:rsid w:val="00AE6E3D"/>
    <w:rsid w:val="00AE6FD5"/>
    <w:rsid w:val="00B026C8"/>
    <w:rsid w:val="00B21330"/>
    <w:rsid w:val="00B22FE8"/>
    <w:rsid w:val="00B5489D"/>
    <w:rsid w:val="00B7292B"/>
    <w:rsid w:val="00B72D49"/>
    <w:rsid w:val="00BA0533"/>
    <w:rsid w:val="00BE3286"/>
    <w:rsid w:val="00BE60A1"/>
    <w:rsid w:val="00BF4CFB"/>
    <w:rsid w:val="00C020C1"/>
    <w:rsid w:val="00C114D4"/>
    <w:rsid w:val="00C144AE"/>
    <w:rsid w:val="00C21952"/>
    <w:rsid w:val="00C2562C"/>
    <w:rsid w:val="00C26F6D"/>
    <w:rsid w:val="00C3454E"/>
    <w:rsid w:val="00C50C2C"/>
    <w:rsid w:val="00C558E7"/>
    <w:rsid w:val="00C74517"/>
    <w:rsid w:val="00C87641"/>
    <w:rsid w:val="00C9701E"/>
    <w:rsid w:val="00CC79EF"/>
    <w:rsid w:val="00CD30A8"/>
    <w:rsid w:val="00CD57F8"/>
    <w:rsid w:val="00CF0606"/>
    <w:rsid w:val="00CF38A3"/>
    <w:rsid w:val="00CF4236"/>
    <w:rsid w:val="00CF4E9A"/>
    <w:rsid w:val="00D01CBD"/>
    <w:rsid w:val="00D049CB"/>
    <w:rsid w:val="00D07C27"/>
    <w:rsid w:val="00D17FF3"/>
    <w:rsid w:val="00D35147"/>
    <w:rsid w:val="00D41280"/>
    <w:rsid w:val="00D5733E"/>
    <w:rsid w:val="00D57B30"/>
    <w:rsid w:val="00D86EA8"/>
    <w:rsid w:val="00D9442D"/>
    <w:rsid w:val="00DA436F"/>
    <w:rsid w:val="00DA46B6"/>
    <w:rsid w:val="00DB2F1E"/>
    <w:rsid w:val="00DD2C34"/>
    <w:rsid w:val="00DE1B66"/>
    <w:rsid w:val="00DE621B"/>
    <w:rsid w:val="00DF0C5D"/>
    <w:rsid w:val="00DF27CF"/>
    <w:rsid w:val="00DF5B00"/>
    <w:rsid w:val="00E00B41"/>
    <w:rsid w:val="00E016F8"/>
    <w:rsid w:val="00E15459"/>
    <w:rsid w:val="00E236BC"/>
    <w:rsid w:val="00E248DA"/>
    <w:rsid w:val="00E3060B"/>
    <w:rsid w:val="00E42E83"/>
    <w:rsid w:val="00E42F1B"/>
    <w:rsid w:val="00E57BDD"/>
    <w:rsid w:val="00E7196B"/>
    <w:rsid w:val="00E82F0C"/>
    <w:rsid w:val="00E9134A"/>
    <w:rsid w:val="00E954EC"/>
    <w:rsid w:val="00EA3A02"/>
    <w:rsid w:val="00EC3C37"/>
    <w:rsid w:val="00EE2665"/>
    <w:rsid w:val="00EF36F3"/>
    <w:rsid w:val="00F21D6A"/>
    <w:rsid w:val="00F42A85"/>
    <w:rsid w:val="00F4462E"/>
    <w:rsid w:val="00F46F4F"/>
    <w:rsid w:val="00F8151B"/>
    <w:rsid w:val="00F96D2C"/>
    <w:rsid w:val="00FC79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BF6DA"/>
  <w15:docId w15:val="{AA5FD52E-6677-4A99-BD22-E4DEE431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ransparent" w:eastAsia="Arabic Transparent" w:hAnsi="Arabic Transparent" w:cs="Arabic Transparent"/>
        <w:lang w:val="en-US" w:eastAsia="ar-EG"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6CEE"/>
    <w:pPr>
      <w:bidi/>
    </w:pPr>
    <w:rPr>
      <w:rFonts w:ascii="Calibri" w:eastAsia="Times New Roman" w:hAnsi="Calibri"/>
      <w:sz w:val="24"/>
      <w:szCs w:val="24"/>
      <w:rtl/>
      <w:lang w:eastAsia="en-US"/>
    </w:rPr>
  </w:style>
  <w:style w:type="paragraph" w:styleId="Nagwek1">
    <w:name w:val="heading 1"/>
    <w:next w:val="Tekstpodstawowy"/>
    <w:link w:val="Nagwek1Znak"/>
    <w:uiPriority w:val="9"/>
    <w:qFormat/>
    <w:rsid w:val="00CF4E9A"/>
    <w:pPr>
      <w:keepNext/>
      <w:keepLines/>
      <w:pageBreakBefore/>
      <w:pBdr>
        <w:top w:val="single" w:sz="4" w:space="1" w:color="00408E"/>
        <w:bottom w:val="single" w:sz="4" w:space="1" w:color="00408E"/>
      </w:pBdr>
      <w:bidi/>
      <w:spacing w:after="200" w:line="276" w:lineRule="auto"/>
      <w:outlineLvl w:val="0"/>
    </w:pPr>
    <w:rPr>
      <w:b/>
      <w:color w:val="00408E"/>
      <w:sz w:val="28"/>
      <w:szCs w:val="28"/>
      <w:rtl/>
      <w:lang w:eastAsia="en-US"/>
    </w:rPr>
  </w:style>
  <w:style w:type="paragraph" w:styleId="Nagwek2">
    <w:name w:val="heading 2"/>
    <w:basedOn w:val="Tekstpodstawowy"/>
    <w:next w:val="Tekstpodstawowy"/>
    <w:link w:val="Nagwek2Znak"/>
    <w:autoRedefine/>
    <w:uiPriority w:val="9"/>
    <w:unhideWhenUsed/>
    <w:qFormat/>
    <w:rsid w:val="001A4C5B"/>
    <w:pPr>
      <w:keepNext/>
      <w:keepLines/>
      <w:ind w:right="545"/>
      <w:outlineLvl w:val="1"/>
    </w:pPr>
    <w:rPr>
      <w:rFonts w:ascii="Arial" w:hAnsi="Arial" w:cs="Arial"/>
      <w:b/>
      <w:bCs/>
      <w:color w:val="1F4E79" w:themeColor="accent1" w:themeShade="80"/>
      <w:sz w:val="24"/>
      <w:szCs w:val="24"/>
      <w:rtl w:val="0"/>
    </w:rPr>
  </w:style>
  <w:style w:type="paragraph" w:styleId="Nagwek3">
    <w:name w:val="heading 3"/>
    <w:basedOn w:val="Tekstpodstawowy"/>
    <w:next w:val="Tekstpodstawowy"/>
    <w:link w:val="Nagwek3Znak"/>
    <w:uiPriority w:val="9"/>
    <w:unhideWhenUsed/>
    <w:qFormat/>
    <w:rsid w:val="00CF4E9A"/>
    <w:pPr>
      <w:keepNext/>
      <w:keepLines/>
      <w:jc w:val="left"/>
      <w:outlineLvl w:val="2"/>
    </w:pPr>
    <w:rPr>
      <w:b/>
      <w:color w:val="00408E"/>
    </w:rPr>
  </w:style>
  <w:style w:type="paragraph" w:styleId="Nagwek4">
    <w:name w:val="heading 4"/>
    <w:basedOn w:val="Tekstpodstawowy"/>
    <w:next w:val="Tekstpodstawowy"/>
    <w:link w:val="Nagwek4Znak"/>
    <w:uiPriority w:val="9"/>
    <w:unhideWhenUsed/>
    <w:qFormat/>
    <w:rsid w:val="004E22C7"/>
    <w:pPr>
      <w:keepNext/>
      <w:keepLines/>
      <w:jc w:val="left"/>
      <w:outlineLvl w:val="3"/>
    </w:pPr>
    <w:rPr>
      <w:color w:val="00408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A4C5B"/>
    <w:rPr>
      <w:rFonts w:ascii="Arial" w:hAnsi="Arial" w:cs="Arial"/>
      <w:b/>
      <w:bCs/>
      <w:color w:val="1F4E79" w:themeColor="accent1" w:themeShade="80"/>
      <w:sz w:val="24"/>
      <w:szCs w:val="24"/>
      <w:lang w:eastAsia="en-US"/>
    </w:rPr>
  </w:style>
  <w:style w:type="paragraph" w:styleId="Spistreci1">
    <w:name w:val="toc 1"/>
    <w:basedOn w:val="Normalny"/>
    <w:next w:val="Normalny"/>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Nagwek">
    <w:name w:val="header"/>
    <w:basedOn w:val="Tekstpodstawowy"/>
    <w:link w:val="NagwekZnak"/>
    <w:uiPriority w:val="99"/>
    <w:unhideWhenUsed/>
    <w:rsid w:val="00A24449"/>
    <w:pPr>
      <w:tabs>
        <w:tab w:val="center" w:pos="4680"/>
        <w:tab w:val="right" w:pos="9360"/>
      </w:tabs>
    </w:pPr>
  </w:style>
  <w:style w:type="character" w:customStyle="1" w:styleId="NagwekZnak">
    <w:name w:val="Nagłówek Znak"/>
    <w:basedOn w:val="Domylnaczcionkaakapitu"/>
    <w:link w:val="Nagwek"/>
    <w:uiPriority w:val="99"/>
    <w:rsid w:val="00AD1076"/>
    <w:rPr>
      <w:rFonts w:ascii="Century Gothic" w:hAnsi="Century Gothic"/>
      <w:szCs w:val="22"/>
      <w:lang w:val="en-AU"/>
    </w:rPr>
  </w:style>
  <w:style w:type="paragraph" w:styleId="Stopka">
    <w:name w:val="footer"/>
    <w:basedOn w:val="Normalny"/>
    <w:link w:val="StopkaZnak"/>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StopkaZnak">
    <w:name w:val="Stopka Znak"/>
    <w:basedOn w:val="Domylnaczcionkaakapitu"/>
    <w:link w:val="Stopka"/>
    <w:uiPriority w:val="99"/>
    <w:rsid w:val="00A24449"/>
    <w:rPr>
      <w:rFonts w:ascii="Century Gothic" w:hAnsi="Century Gothic"/>
      <w:szCs w:val="22"/>
      <w:lang w:val="en-AU"/>
    </w:rPr>
  </w:style>
  <w:style w:type="character" w:customStyle="1" w:styleId="Nagwek1Znak">
    <w:name w:val="Nagłówek 1 Znak"/>
    <w:basedOn w:val="Domylnaczcionkaakapitu"/>
    <w:link w:val="Nagwek1"/>
    <w:uiPriority w:val="9"/>
    <w:rsid w:val="00CF4E9A"/>
    <w:rPr>
      <w:b/>
      <w:color w:val="00408E"/>
      <w:sz w:val="28"/>
      <w:szCs w:val="28"/>
      <w:lang w:val="en-AU" w:eastAsia="en-US" w:bidi="ar-EG"/>
    </w:rPr>
  </w:style>
  <w:style w:type="paragraph" w:styleId="Tytu">
    <w:name w:val="Title"/>
    <w:basedOn w:val="Tekstpodstawowy"/>
    <w:next w:val="Tekstpodstawowy"/>
    <w:link w:val="TytuZnak"/>
    <w:autoRedefine/>
    <w:uiPriority w:val="10"/>
    <w:qFormat/>
    <w:rsid w:val="00A86B36"/>
    <w:pPr>
      <w:spacing w:before="240" w:after="60"/>
      <w:jc w:val="center"/>
      <w:outlineLvl w:val="0"/>
    </w:pPr>
    <w:rPr>
      <w:rFonts w:eastAsia="Times New Roman"/>
      <w:b/>
      <w:bCs/>
      <w:color w:val="00408E"/>
      <w:kern w:val="28"/>
      <w:sz w:val="48"/>
      <w:szCs w:val="48"/>
    </w:rPr>
  </w:style>
  <w:style w:type="paragraph" w:styleId="Tekstpodstawowy">
    <w:name w:val="Body Text"/>
    <w:link w:val="TekstpodstawowyZnak"/>
    <w:uiPriority w:val="99"/>
    <w:unhideWhenUsed/>
    <w:qFormat/>
    <w:rsid w:val="004E22C7"/>
    <w:pPr>
      <w:bidi/>
      <w:spacing w:after="200" w:line="276" w:lineRule="auto"/>
      <w:jc w:val="both"/>
    </w:pPr>
    <w:rPr>
      <w:szCs w:val="22"/>
      <w:rtl/>
      <w:lang w:eastAsia="en-US"/>
    </w:rPr>
  </w:style>
  <w:style w:type="character" w:customStyle="1" w:styleId="TekstpodstawowyZnak">
    <w:name w:val="Tekst podstawowy Znak"/>
    <w:basedOn w:val="Domylnaczcionkaakapitu"/>
    <w:link w:val="Tekstpodstawowy"/>
    <w:uiPriority w:val="99"/>
    <w:rsid w:val="004E22C7"/>
    <w:rPr>
      <w:szCs w:val="22"/>
      <w:lang w:val="en-AU" w:eastAsia="en-US" w:bidi="ar-EG"/>
    </w:rPr>
  </w:style>
  <w:style w:type="character" w:customStyle="1" w:styleId="TytuZnak">
    <w:name w:val="Tytuł Znak"/>
    <w:basedOn w:val="Domylnaczcionkaakapitu"/>
    <w:link w:val="Tytu"/>
    <w:uiPriority w:val="10"/>
    <w:rsid w:val="00A86B36"/>
    <w:rPr>
      <w:rFonts w:eastAsia="Times New Roman"/>
      <w:b/>
      <w:bCs/>
      <w:color w:val="00408E"/>
      <w:kern w:val="28"/>
      <w:sz w:val="48"/>
      <w:szCs w:val="48"/>
      <w:lang w:val="en-AU"/>
    </w:rPr>
  </w:style>
  <w:style w:type="character" w:styleId="Hipercze">
    <w:name w:val="Hyperlink"/>
    <w:basedOn w:val="Domylnaczcionkaakapitu"/>
    <w:uiPriority w:val="99"/>
    <w:unhideWhenUsed/>
    <w:rsid w:val="0072423D"/>
    <w:rPr>
      <w:color w:val="0000FF"/>
      <w:u w:val="single"/>
    </w:rPr>
  </w:style>
  <w:style w:type="character" w:customStyle="1" w:styleId="Nagwek3Znak">
    <w:name w:val="Nagłówek 3 Znak"/>
    <w:basedOn w:val="Domylnaczcionkaakapitu"/>
    <w:link w:val="Nagwek3"/>
    <w:uiPriority w:val="9"/>
    <w:rsid w:val="00CF4E9A"/>
    <w:rPr>
      <w:b/>
      <w:color w:val="00408E"/>
      <w:szCs w:val="22"/>
      <w:lang w:val="en-AU"/>
    </w:rPr>
  </w:style>
  <w:style w:type="character" w:customStyle="1" w:styleId="Nagwek4Znak">
    <w:name w:val="Nagłówek 4 Znak"/>
    <w:basedOn w:val="Domylnaczcionkaakapitu"/>
    <w:link w:val="Nagwek4"/>
    <w:uiPriority w:val="9"/>
    <w:rsid w:val="004E22C7"/>
    <w:rPr>
      <w:color w:val="00408E"/>
      <w:szCs w:val="22"/>
      <w:lang w:val="en-AU"/>
    </w:rPr>
  </w:style>
  <w:style w:type="paragraph" w:styleId="Listapunktowana">
    <w:name w:val="List Bullet"/>
    <w:basedOn w:val="Listapunktowana5"/>
    <w:uiPriority w:val="99"/>
    <w:unhideWhenUsed/>
    <w:qFormat/>
    <w:rsid w:val="004837E2"/>
    <w:pPr>
      <w:tabs>
        <w:tab w:val="num" w:pos="644"/>
      </w:tabs>
      <w:ind w:left="641" w:hanging="357"/>
      <w:contextualSpacing w:val="0"/>
    </w:pPr>
  </w:style>
  <w:style w:type="paragraph" w:styleId="Listapunktowana2">
    <w:name w:val="List Bullet 2"/>
    <w:basedOn w:val="Listapunktowana"/>
    <w:uiPriority w:val="99"/>
    <w:unhideWhenUsed/>
    <w:rsid w:val="008C4F95"/>
    <w:pPr>
      <w:numPr>
        <w:numId w:val="12"/>
      </w:numPr>
      <w:tabs>
        <w:tab w:val="num" w:pos="1492"/>
      </w:tabs>
      <w:ind w:left="993"/>
    </w:pPr>
  </w:style>
  <w:style w:type="paragraph" w:styleId="Lista-kontynuacja">
    <w:name w:val="List Continue"/>
    <w:basedOn w:val="Normalny"/>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apunktowana3">
    <w:name w:val="List Bullet 3"/>
    <w:basedOn w:val="Normalny"/>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apunktowana4">
    <w:name w:val="List Bullet 4"/>
    <w:basedOn w:val="Normalny"/>
    <w:uiPriority w:val="99"/>
    <w:unhideWhenUsed/>
    <w:rsid w:val="003961C1"/>
    <w:pPr>
      <w:numPr>
        <w:numId w:val="4"/>
      </w:numPr>
      <w:spacing w:after="200" w:line="276" w:lineRule="auto"/>
      <w:contextualSpacing/>
      <w:jc w:val="both"/>
    </w:pPr>
    <w:rPr>
      <w:rFonts w:ascii="Century Gothic" w:eastAsia="Calibri" w:hAnsi="Century Gothic"/>
      <w:sz w:val="20"/>
      <w:szCs w:val="22"/>
    </w:rPr>
  </w:style>
  <w:style w:type="paragraph" w:styleId="Listapunktowana5">
    <w:name w:val="List Bullet 5"/>
    <w:basedOn w:val="Normalny"/>
    <w:uiPriority w:val="99"/>
    <w:unhideWhenUsed/>
    <w:rsid w:val="003961C1"/>
    <w:pPr>
      <w:numPr>
        <w:numId w:val="5"/>
      </w:numPr>
      <w:spacing w:after="200" w:line="276" w:lineRule="auto"/>
      <w:contextualSpacing/>
      <w:jc w:val="both"/>
    </w:pPr>
    <w:rPr>
      <w:rFonts w:ascii="Century Gothic" w:eastAsia="Calibri" w:hAnsi="Century Gothic"/>
      <w:sz w:val="20"/>
      <w:szCs w:val="22"/>
    </w:rPr>
  </w:style>
  <w:style w:type="paragraph" w:styleId="Akapitzlist">
    <w:name w:val="List Paragraph"/>
    <w:basedOn w:val="Normalny"/>
    <w:uiPriority w:val="34"/>
    <w:qFormat/>
    <w:rsid w:val="00C26F6D"/>
    <w:pPr>
      <w:spacing w:after="200" w:line="276" w:lineRule="auto"/>
      <w:ind w:left="720"/>
      <w:jc w:val="both"/>
    </w:pPr>
    <w:rPr>
      <w:rFonts w:ascii="Century Gothic" w:eastAsia="Calibri" w:hAnsi="Century Gothic"/>
      <w:sz w:val="20"/>
      <w:szCs w:val="22"/>
    </w:rPr>
  </w:style>
  <w:style w:type="paragraph" w:styleId="Nagwekwykazurde">
    <w:name w:val="toa heading"/>
    <w:basedOn w:val="Nagwek1"/>
    <w:next w:val="Normalny"/>
    <w:uiPriority w:val="99"/>
    <w:unhideWhenUsed/>
    <w:rsid w:val="000C5167"/>
    <w:pPr>
      <w:spacing w:after="400"/>
    </w:pPr>
  </w:style>
  <w:style w:type="table" w:styleId="Tabela-Siatka">
    <w:name w:val="Table Grid"/>
    <w:basedOn w:val="Standardowy"/>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Standardowy"/>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Standardowy"/>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akcent3">
    <w:name w:val="Light Shading Accent 3"/>
    <w:basedOn w:val="Standardowy"/>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Jasnecieniowanieakcent5">
    <w:name w:val="Light Shading Accent 5"/>
    <w:basedOn w:val="Standardowy"/>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Standardowy"/>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ny"/>
    <w:rsid w:val="003401B4"/>
    <w:pPr>
      <w:spacing w:before="60" w:after="60"/>
      <w:ind w:left="28" w:right="28"/>
    </w:pPr>
    <w:rPr>
      <w:rFonts w:ascii="Century Gothic" w:hAnsi="Century Gothic"/>
      <w:sz w:val="18"/>
    </w:rPr>
  </w:style>
  <w:style w:type="paragraph" w:styleId="Bezodstpw">
    <w:name w:val="No Spacing"/>
    <w:uiPriority w:val="1"/>
    <w:qFormat/>
    <w:rsid w:val="00C2562C"/>
    <w:pPr>
      <w:bidi/>
      <w:jc w:val="both"/>
    </w:pPr>
    <w:rPr>
      <w:szCs w:val="22"/>
      <w:rtl/>
      <w:lang w:eastAsia="en-US"/>
    </w:rPr>
  </w:style>
  <w:style w:type="paragraph" w:styleId="Tekstprzypisudolnego">
    <w:name w:val="footnote text"/>
    <w:basedOn w:val="Normalny"/>
    <w:link w:val="TekstprzypisudolnegoZnak"/>
    <w:uiPriority w:val="99"/>
    <w:unhideWhenUsed/>
    <w:rsid w:val="00406CEE"/>
  </w:style>
  <w:style w:type="character" w:customStyle="1" w:styleId="TekstprzypisudolnegoZnak">
    <w:name w:val="Tekst przypisu dolnego Znak"/>
    <w:basedOn w:val="Domylnaczcionkaakapitu"/>
    <w:link w:val="Tekstprzypisudolnego"/>
    <w:uiPriority w:val="99"/>
    <w:rsid w:val="00406CEE"/>
    <w:rPr>
      <w:rFonts w:ascii="Calibri" w:eastAsia="Times New Roman" w:hAnsi="Calibri" w:cs="Times New Roman"/>
      <w:sz w:val="24"/>
      <w:szCs w:val="24"/>
    </w:rPr>
  </w:style>
  <w:style w:type="character" w:styleId="Odwoanieprzypisudolnego">
    <w:name w:val="footnote reference"/>
    <w:basedOn w:val="Domylnaczcionkaakapitu"/>
    <w:uiPriority w:val="99"/>
    <w:unhideWhenUsed/>
    <w:rsid w:val="00406CEE"/>
    <w:rPr>
      <w:vertAlign w:val="superscript"/>
    </w:rPr>
  </w:style>
  <w:style w:type="paragraph" w:styleId="Tekstdymka">
    <w:name w:val="Balloon Text"/>
    <w:basedOn w:val="Normalny"/>
    <w:link w:val="TekstdymkaZnak"/>
    <w:uiPriority w:val="99"/>
    <w:semiHidden/>
    <w:unhideWhenUsed/>
    <w:rsid w:val="00406CEE"/>
    <w:rPr>
      <w:rFonts w:ascii="Tahoma" w:hAnsi="Tahoma" w:cs="Tahoma"/>
      <w:sz w:val="16"/>
      <w:szCs w:val="16"/>
    </w:rPr>
  </w:style>
  <w:style w:type="character" w:customStyle="1" w:styleId="TekstdymkaZnak">
    <w:name w:val="Tekst dymka Znak"/>
    <w:basedOn w:val="Domylnaczcionkaakapitu"/>
    <w:link w:val="Tekstdymka"/>
    <w:uiPriority w:val="99"/>
    <w:semiHidden/>
    <w:rsid w:val="00406CEE"/>
    <w:rPr>
      <w:rFonts w:ascii="Tahoma" w:eastAsia="Times New Roman" w:hAnsi="Tahoma" w:cs="Tahoma"/>
      <w:sz w:val="16"/>
      <w:szCs w:val="16"/>
    </w:rPr>
  </w:style>
  <w:style w:type="character" w:customStyle="1" w:styleId="UnresolvedMention">
    <w:name w:val="Unresolved Mention"/>
    <w:basedOn w:val="Domylnaczcionkaakapitu"/>
    <w:uiPriority w:val="99"/>
    <w:rsid w:val="00302AA4"/>
    <w:rPr>
      <w:color w:val="808080"/>
      <w:shd w:val="clear" w:color="auto" w:fill="E6E6E6"/>
    </w:rPr>
  </w:style>
  <w:style w:type="paragraph" w:styleId="Tekstkomentarza">
    <w:name w:val="annotation text"/>
    <w:basedOn w:val="Normalny"/>
    <w:uiPriority w:val="99"/>
    <w:semiHidden/>
    <w:unhideWhenUsed/>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52756">
      <w:bodyDiv w:val="1"/>
      <w:marLeft w:val="0"/>
      <w:marRight w:val="0"/>
      <w:marTop w:val="0"/>
      <w:marBottom w:val="0"/>
      <w:divBdr>
        <w:top w:val="none" w:sz="0" w:space="0" w:color="auto"/>
        <w:left w:val="none" w:sz="0" w:space="0" w:color="auto"/>
        <w:bottom w:val="none" w:sz="0" w:space="0" w:color="auto"/>
        <w:right w:val="none" w:sz="0" w:space="0" w:color="auto"/>
      </w:divBdr>
    </w:div>
    <w:div w:id="1442535300">
      <w:bodyDiv w:val="1"/>
      <w:marLeft w:val="0"/>
      <w:marRight w:val="0"/>
      <w:marTop w:val="0"/>
      <w:marBottom w:val="0"/>
      <w:divBdr>
        <w:top w:val="none" w:sz="0" w:space="0" w:color="auto"/>
        <w:left w:val="none" w:sz="0" w:space="0" w:color="auto"/>
        <w:bottom w:val="none" w:sz="0" w:space="0" w:color="auto"/>
        <w:right w:val="none" w:sz="0" w:space="0" w:color="auto"/>
      </w:divBdr>
    </w:div>
    <w:div w:id="19121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tld-registration-data-specs-e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62.schedule.ican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dataprotectionprivac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ac.icann.org/activity/whois-compliance-with-gdpr-reference" TargetMode="External"/><Relationship Id="rId4" Type="http://schemas.openxmlformats.org/officeDocument/2006/relationships/settings" Target="settings.xml"/><Relationship Id="rId9" Type="http://schemas.openxmlformats.org/officeDocument/2006/relationships/hyperlink" Target="https://gnso.icann.org/sites/default/files/file/field-file-attach/annex-4-epdp-manual-30jan18-en.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abic Transparent"/>
        <a:ea typeface="Arabic Transparent"/>
        <a:cs typeface="Arabic Transparent"/>
      </a:majorFont>
      <a:minorFont>
        <a:latin typeface="Arabic Transparent"/>
        <a:ea typeface="Arabic Transparent"/>
        <a:cs typeface="Arabic Transparen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DD69-E5DE-4EAE-BD34-9883CC19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1051</Words>
  <Characters>6312</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عنوان الوثيقة</vt:lpstr>
      <vt:lpstr>Document Title</vt:lpstr>
    </vt:vector>
  </TitlesOfParts>
  <Company/>
  <LinksUpToDate>false</LinksUpToDate>
  <CharactersWithSpaces>7349</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 الوثيقة</dc:title>
  <dc:subject>اسم و/أو شعار العميل</dc:subject>
  <dc:creator>توماس ديل</dc:creator>
  <cp:lastModifiedBy>Użytkownik systemu Windows</cp:lastModifiedBy>
  <cp:revision>9</cp:revision>
  <cp:lastPrinted>2018-06-21T09:38:00Z</cp:lastPrinted>
  <dcterms:created xsi:type="dcterms:W3CDTF">2018-06-13T08:51:00Z</dcterms:created>
  <dcterms:modified xsi:type="dcterms:W3CDTF">2018-06-21T09:38:00Z</dcterms:modified>
</cp:coreProperties>
</file>